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1A" w:rsidRPr="00581F17" w:rsidRDefault="00397F1A" w:rsidP="00397F1A">
      <w:pPr>
        <w:ind w:left="180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</w:p>
    <w:p w:rsidR="00397F1A" w:rsidRPr="00FE2C7F" w:rsidRDefault="00397F1A" w:rsidP="00397F1A">
      <w:pPr>
        <w:rPr>
          <w:rFonts w:ascii="Algerian" w:hAnsi="Algerian" w:cstheme="majorBidi"/>
          <w:b/>
          <w:bCs/>
          <w:color w:val="4BACC6" w:themeColor="accent5"/>
          <w:sz w:val="32"/>
          <w:szCs w:val="32"/>
          <w:rtl/>
        </w:rPr>
      </w:pPr>
    </w:p>
    <w:p w:rsidR="00397F1A" w:rsidRPr="00FE2C7F" w:rsidRDefault="00397F1A" w:rsidP="00397F1A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Al-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Mansour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University College</w:t>
      </w:r>
    </w:p>
    <w:p w:rsidR="00397F1A" w:rsidRPr="00FE2C7F" w:rsidRDefault="00397F1A" w:rsidP="00397F1A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Lecture History of Law in the Department Law</w:t>
      </w:r>
    </w:p>
    <w:p w:rsidR="00397F1A" w:rsidRPr="00FE2C7F" w:rsidRDefault="00397F1A" w:rsidP="00397F1A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First of stage of law </w:t>
      </w:r>
    </w:p>
    <w:p w:rsidR="00397F1A" w:rsidRPr="00FE2C7F" w:rsidRDefault="00397F1A" w:rsidP="00397F1A">
      <w:pPr>
        <w:shd w:val="clear" w:color="auto" w:fill="FFFFFF"/>
        <w:jc w:val="center"/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</w:pPr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Instructor: M.M 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rajha</w:t>
      </w:r>
      <w:proofErr w:type="spellEnd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 xml:space="preserve"> </w:t>
      </w:r>
      <w:proofErr w:type="spellStart"/>
      <w:r w:rsidRPr="00FE2C7F">
        <w:rPr>
          <w:rFonts w:ascii="Algerian" w:eastAsia="Times New Roman" w:hAnsi="Algerian" w:cstheme="majorBidi"/>
          <w:b/>
          <w:bCs/>
          <w:color w:val="1C1E21"/>
          <w:sz w:val="32"/>
          <w:szCs w:val="32"/>
        </w:rPr>
        <w:t>M.Shehab</w:t>
      </w:r>
      <w:proofErr w:type="spellEnd"/>
    </w:p>
    <w:p w:rsidR="00397F1A" w:rsidRDefault="00397F1A" w:rsidP="00397F1A">
      <w:pPr>
        <w:jc w:val="center"/>
        <w:rPr>
          <w:rFonts w:asciiTheme="majorBidi" w:hAnsiTheme="majorBidi" w:cstheme="majorBidi" w:hint="cs"/>
          <w:b/>
          <w:bCs/>
          <w:i/>
          <w:iCs/>
          <w:color w:val="4BACC6" w:themeColor="accent5"/>
          <w:sz w:val="32"/>
          <w:szCs w:val="32"/>
          <w:rtl/>
        </w:rPr>
      </w:pPr>
    </w:p>
    <w:p w:rsidR="00397F1A" w:rsidRPr="00581F17" w:rsidRDefault="00397F1A" w:rsidP="00397F1A">
      <w:pPr>
        <w:ind w:left="180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</w:p>
    <w:p w:rsidR="00397F1A" w:rsidRPr="003D7ADF" w:rsidRDefault="00397F1A" w:rsidP="00397F1A">
      <w:pPr>
        <w:jc w:val="both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</w:p>
    <w:p w:rsidR="00397F1A" w:rsidRPr="00581F17" w:rsidRDefault="00397F1A" w:rsidP="00397F1A">
      <w:pPr>
        <w:pStyle w:val="a3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</w:p>
    <w:p w:rsidR="00397F1A" w:rsidRPr="002D6947" w:rsidRDefault="00397F1A" w:rsidP="00D85985">
      <w:pPr>
        <w:pStyle w:val="a3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proofErr w:type="spellStart"/>
      <w:r w:rsidRPr="002D6947">
        <w:rPr>
          <w:rFonts w:ascii="Simplified Arabic" w:hAnsi="Simplified Arabic" w:cs="Simplified Arabic"/>
          <w:b/>
          <w:bCs/>
          <w:color w:val="FF0000"/>
          <w:sz w:val="32"/>
          <w:szCs w:val="32"/>
          <w:highlight w:val="yellow"/>
          <w:rtl/>
        </w:rPr>
        <w:t>اثار</w:t>
      </w:r>
      <w:proofErr w:type="spellEnd"/>
      <w:r w:rsidRPr="002D6947">
        <w:rPr>
          <w:rFonts w:ascii="Simplified Arabic" w:hAnsi="Simplified Arabic" w:cs="Simplified Arabic"/>
          <w:b/>
          <w:bCs/>
          <w:color w:val="FF0000"/>
          <w:sz w:val="32"/>
          <w:szCs w:val="32"/>
          <w:highlight w:val="yellow"/>
          <w:rtl/>
        </w:rPr>
        <w:t xml:space="preserve"> النظم البدائية في الأمم القديمة</w:t>
      </w:r>
    </w:p>
    <w:p w:rsidR="00397F1A" w:rsidRPr="00581F17" w:rsidRDefault="00397F1A" w:rsidP="00397F1A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نظام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الاسرة</w:t>
      </w:r>
      <w:proofErr w:type="spellEnd"/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ويشمل </w:t>
      </w:r>
      <w:proofErr w:type="spellStart"/>
      <w:r w:rsidR="002D6947"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  <w:t>مايلي</w:t>
      </w:r>
      <w:proofErr w:type="spellEnd"/>
      <w:r w:rsidR="002D6947"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  <w:t>:-</w:t>
      </w:r>
    </w:p>
    <w:p w:rsidR="00397F1A" w:rsidRPr="00581F17" w:rsidRDefault="00397F1A" w:rsidP="00397F1A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الزواج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عادة اختطاف النساء من الجماعات الأخرى أدت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استقرار فكرة الزواج من خارج نطاق الجماعة ولكن لم يدم ذلك طويلا فقد حل محله نظام الزواج بالتراضي فظهر ما يسمى </w:t>
      </w: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بزواج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الشغار</w:t>
      </w: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هو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يقوم الرجل بتقديم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مرأة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من قريباته ليتزوج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بها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احد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جماعة الزوجة . وأيضا ظهر </w:t>
      </w: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المهر </w:t>
      </w: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وهو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يقدم الرجل شيء من المال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الزوجة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أهلها . وكذلك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مايسمى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البائنة</w:t>
      </w:r>
      <w:proofErr w:type="spellEnd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الدوطة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وهي أموال تقدمها الزوجة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اقربائها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بيت الزوجية ويمكن الزوج من الانتفاع منها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اما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ملكيتها فتبقى للزوجة وتنتقل بوفاتها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أولادها . </w:t>
      </w:r>
    </w:p>
    <w:p w:rsidR="00397F1A" w:rsidRPr="00581F17" w:rsidRDefault="00397F1A" w:rsidP="00397F1A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النسب والقرابة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اثار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الامية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نسبة الولد غير الشرعي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امه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وليس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ابيه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لذلك فأن المجتمعات القديمة التي تعترف بنظام الرق كانت تعتبر </w:t>
      </w: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lastRenderedPageBreak/>
        <w:t xml:space="preserve">الولد الذي تكون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امه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عبده هو أيضا عبد والولد الذي تكون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امه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حره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هو أيضا حر أي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كان والد كل منهما . 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ج – السلطة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الابوية</w:t>
      </w:r>
      <w:proofErr w:type="spellEnd"/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نظام السلطة لم يكن بنفس القوة عند جميع الشعوب فاليونان والرومان والجرمان والهنود والمصرين اقروا السلطة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الابوية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الواسعةفنرى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قانون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الالواح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الاثني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عشر الروماني قد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اعطى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للاب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حق الحياة والموت على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اسرته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كما له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يبيعهم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يقدمهم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لدائنيه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ليقوموا لهم بخدمات عن ديون رب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بينما العراقيين القدماء خففوا من حدت ونطاق السلطة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الابوية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.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د- الإرث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كانت القاعدة لدى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الاقوام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القديمة حصر الإرث على الذكور البالغين .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هـ- عبادة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الاسلاف</w:t>
      </w:r>
      <w:proofErr w:type="spellEnd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أدت رسوخ فكرة السلطة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الابوية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في المجتمعات البدائية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لا يترك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فكرة الولاء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لرببعد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وفاته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فاصبح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يعبدون رب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المتوفي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وهكذا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اصبح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لكل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الهة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خاصة تعبدها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جانت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الهة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العامة التي تعبدها مع باقي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في الجماعة .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و- التضامن العائلي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الجماعات متضامون في الحقوق و الواجبات ومتكافئون للانتقام ممن اعتدى على احدهم ومعرضون للمؤاخذة بجريرة كل منهم.</w:t>
      </w:r>
    </w:p>
    <w:p w:rsidR="00397F1A" w:rsidRPr="00581F17" w:rsidRDefault="00397F1A" w:rsidP="00397F1A">
      <w:pPr>
        <w:pStyle w:val="a3"/>
        <w:ind w:left="252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</w:p>
    <w:p w:rsidR="00397F1A" w:rsidRDefault="00397F1A" w:rsidP="00397F1A">
      <w:pPr>
        <w:pStyle w:val="a3"/>
        <w:ind w:left="1260"/>
        <w:jc w:val="both"/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</w:rPr>
      </w:pPr>
    </w:p>
    <w:p w:rsidR="00397F1A" w:rsidRPr="00581F17" w:rsidRDefault="00397F1A" w:rsidP="00397F1A">
      <w:pPr>
        <w:pStyle w:val="a3"/>
        <w:ind w:left="126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</w:rPr>
        <w:lastRenderedPageBreak/>
        <w:t>2-ن</w:t>
      </w: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ظام الملكية</w:t>
      </w:r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عرف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الانسان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أولا ملكية الأموال المنقولة ( هي الأموال التي يمكن نقلها من مكان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اخر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دون تلف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ضرر) .</w:t>
      </w:r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ففي عصور الصيد كان يمتلك الأدوات الحجرية ويستعملها في الصيد.</w:t>
      </w:r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وفي عصور الرعي كان يمتلك الحيوانات التي كان يرعاها ويعيش عليها.</w:t>
      </w:r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اما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ملكية الأموال الغير منقولة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كالاراضي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فلم يقرها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في عصر الزراعة.</w:t>
      </w:r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</w:p>
    <w:p w:rsidR="00397F1A" w:rsidRPr="00581F17" w:rsidRDefault="00397F1A" w:rsidP="00397F1A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نظام الجريمة والعقاب</w:t>
      </w:r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سابقا كان الجرائم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عامة وخاصة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متأثرآ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بفكرة الانتقام الفردي . فنطاق الجرائم العامة كان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ضيقآ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جداً فلم يكن يعتبر من الجرائم العامة غير بعض الجرائم المهمة كجريمة الخيانة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العضمى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 الهرب من الحرب والتجني على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الدينوالقتل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و الحريق العمد.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اما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الجرائم التي تقع على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واموالهم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كانت تعتبر جرائم خاصة .</w:t>
      </w:r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وقد استعملوا وسائل للحد من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اثار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القوة وهي :</w:t>
      </w:r>
    </w:p>
    <w:p w:rsidR="00397F1A" w:rsidRPr="00581F17" w:rsidRDefault="00397F1A" w:rsidP="00397F1A">
      <w:pPr>
        <w:pStyle w:val="a3"/>
        <w:numPr>
          <w:ilvl w:val="0"/>
          <w:numId w:val="3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القصاص : </w:t>
      </w: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يقضي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بأنزال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العمل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الاجرامي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نفسه بالجاني فالنفس بالنفس والعين بالعين والسن وبالسن .</w:t>
      </w:r>
    </w:p>
    <w:p w:rsidR="00397F1A" w:rsidRPr="00581F17" w:rsidRDefault="00397F1A" w:rsidP="00397F1A">
      <w:pPr>
        <w:pStyle w:val="a3"/>
        <w:numPr>
          <w:ilvl w:val="0"/>
          <w:numId w:val="3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الدية :</w:t>
      </w:r>
      <w:r w:rsidRPr="00581F17">
        <w:rPr>
          <w:rFonts w:ascii="Simplified Arabic" w:hAnsi="Simplified Arabic" w:cs="Simplified Arabic"/>
          <w:sz w:val="32"/>
          <w:szCs w:val="32"/>
          <w:rtl/>
        </w:rPr>
        <w:t xml:space="preserve"> مبلغ من المال يدفعه الجاني </w:t>
      </w:r>
      <w:proofErr w:type="spellStart"/>
      <w:r w:rsidRPr="00581F17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sz w:val="32"/>
          <w:szCs w:val="32"/>
          <w:rtl/>
        </w:rPr>
        <w:t xml:space="preserve"> جماعته </w:t>
      </w:r>
      <w:proofErr w:type="spellStart"/>
      <w:r w:rsidRPr="00581F17">
        <w:rPr>
          <w:rFonts w:ascii="Simplified Arabic" w:hAnsi="Simplified Arabic" w:cs="Simplified Arabic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sz w:val="32"/>
          <w:szCs w:val="32"/>
          <w:rtl/>
        </w:rPr>
        <w:t xml:space="preserve"> المجني عليه </w:t>
      </w:r>
      <w:proofErr w:type="spellStart"/>
      <w:r w:rsidRPr="00581F17">
        <w:rPr>
          <w:rFonts w:ascii="Simplified Arabic" w:hAnsi="Simplified Arabic" w:cs="Simplified Arabic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sz w:val="32"/>
          <w:szCs w:val="32"/>
          <w:rtl/>
        </w:rPr>
        <w:t xml:space="preserve"> جماعته لقاء تنازلهم عن </w:t>
      </w:r>
      <w:proofErr w:type="spellStart"/>
      <w:r w:rsidRPr="00581F17">
        <w:rPr>
          <w:rFonts w:ascii="Simplified Arabic" w:hAnsi="Simplified Arabic" w:cs="Simplified Arabic"/>
          <w:sz w:val="32"/>
          <w:szCs w:val="32"/>
          <w:rtl/>
        </w:rPr>
        <w:t>الاخذ</w:t>
      </w:r>
      <w:proofErr w:type="spellEnd"/>
      <w:r w:rsidRPr="00581F17">
        <w:rPr>
          <w:rFonts w:ascii="Simplified Arabic" w:hAnsi="Simplified Arabic" w:cs="Simplified Arabic"/>
          <w:sz w:val="32"/>
          <w:szCs w:val="32"/>
          <w:rtl/>
        </w:rPr>
        <w:t xml:space="preserve"> بالثأر باستعمال القوة.</w:t>
      </w:r>
    </w:p>
    <w:p w:rsidR="00397F1A" w:rsidRPr="00581F17" w:rsidRDefault="00397F1A" w:rsidP="00397F1A">
      <w:pPr>
        <w:pStyle w:val="a3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ج –</w:t>
      </w:r>
      <w:r w:rsidRPr="00581F1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التخلي عن المجرم :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للتخلصمن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تعدي العقوبة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الجاني ولحصرها بشخصه عمدت الجماعات البدائية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التخلي عنه فكانت تتبرأ منه وتحرمه من حمايتها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تسلمه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جماعة المعتدى عليه. وقد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اسموه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العرب</w:t>
      </w: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 الخلع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واسموه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اليونان </w:t>
      </w: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 xml:space="preserve">طريد العدالة </w:t>
      </w:r>
      <w:proofErr w:type="spellStart"/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</w:t>
      </w: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ما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الرومان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فاطلقوا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عليه </w:t>
      </w:r>
      <w:r w:rsidRPr="00581F1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</w:rPr>
        <w:t>التخلي عن مصدر الضرر .</w:t>
      </w:r>
    </w:p>
    <w:p w:rsidR="00397F1A" w:rsidRPr="00581F17" w:rsidRDefault="00397F1A" w:rsidP="00397F1A">
      <w:pPr>
        <w:pStyle w:val="a3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2D6947" w:rsidRPr="002D6947" w:rsidRDefault="002D6947" w:rsidP="002D6947">
      <w:pPr>
        <w:pStyle w:val="a3"/>
        <w:ind w:left="1260"/>
        <w:jc w:val="both"/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</w:rPr>
      </w:pPr>
    </w:p>
    <w:p w:rsidR="002D6947" w:rsidRPr="002D6947" w:rsidRDefault="002D6947" w:rsidP="002D6947">
      <w:pPr>
        <w:pStyle w:val="a3"/>
        <w:ind w:left="1260"/>
        <w:jc w:val="both"/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</w:rPr>
      </w:pPr>
    </w:p>
    <w:p w:rsidR="00397F1A" w:rsidRPr="00581F17" w:rsidRDefault="00397F1A" w:rsidP="00397F1A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</w:rPr>
      </w:pPr>
      <w:r w:rsidRPr="00581F17">
        <w:rPr>
          <w:rFonts w:ascii="Simplified Arabic" w:hAnsi="Simplified Arabic" w:cs="Simplified Arabic"/>
          <w:b/>
          <w:bCs/>
          <w:sz w:val="32"/>
          <w:szCs w:val="32"/>
          <w:rtl/>
        </w:rPr>
        <w:lastRenderedPageBreak/>
        <w:t xml:space="preserve">نظام القضاء </w:t>
      </w:r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لم تعرف الجماعات البدائية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اكثر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من قضاء رب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الاسرة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بين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افرادها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اما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علاقاتها مع الجماعات الأخرى فكان يحددها الانتقام الفردي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بأستعمال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القوة . وبعد ذلك حاولوا تقليل استعمال القوة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والجوء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التصالح فأنتقل القضاء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مرحلة التحكيم الاختياري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فاصبح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للمدعي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ان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يختار استعمال القوة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او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اللجوء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التحكيم وبعد ذلك انتقل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الى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مرحلة التحكيم </w:t>
      </w:r>
      <w:proofErr w:type="spellStart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الالزامي</w:t>
      </w:r>
      <w:proofErr w:type="spellEnd"/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.</w:t>
      </w:r>
    </w:p>
    <w:p w:rsidR="00397F1A" w:rsidRPr="00581F17" w:rsidRDefault="00397F1A" w:rsidP="00397F1A">
      <w:pPr>
        <w:pStyle w:val="a3"/>
        <w:ind w:left="1080"/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</w:pP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وكان في القانون الروماني ثلاث دعوى تمثل مبدأ استعمال القوة وهي :</w:t>
      </w:r>
    </w:p>
    <w:p w:rsidR="00397F1A" w:rsidRDefault="00397F1A" w:rsidP="00397F1A">
      <w:pPr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</w:pPr>
      <w:r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  <w:t xml:space="preserve">              </w:t>
      </w:r>
    </w:p>
    <w:p w:rsidR="00397F1A" w:rsidRDefault="00397F1A" w:rsidP="00397F1A">
      <w:pPr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</w:pPr>
      <w:r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  <w:t xml:space="preserve">              أ-</w:t>
      </w:r>
      <w:r w:rsidRPr="00581F17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دعوى اللقاء اليد</w:t>
      </w:r>
    </w:p>
    <w:p w:rsidR="00397F1A" w:rsidRPr="003D7ADF" w:rsidRDefault="00397F1A" w:rsidP="00397F1A">
      <w:pPr>
        <w:pStyle w:val="a3"/>
        <w:ind w:left="1440"/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</w:pPr>
      <w:r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  <w:t>ب-</w:t>
      </w:r>
      <w:r w:rsidRPr="003D7ADF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دعوى اخذ الرهينة</w:t>
      </w:r>
    </w:p>
    <w:p w:rsidR="00397F1A" w:rsidRPr="003D7ADF" w:rsidRDefault="00397F1A" w:rsidP="00397F1A">
      <w:pPr>
        <w:pStyle w:val="a3"/>
        <w:ind w:left="1440"/>
        <w:rPr>
          <w:rFonts w:asciiTheme="majorBidi" w:hAnsiTheme="majorBidi" w:cstheme="majorBidi"/>
          <w:sz w:val="36"/>
          <w:szCs w:val="36"/>
        </w:rPr>
      </w:pPr>
      <w:r w:rsidRPr="003D7ADF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ج- د</w:t>
      </w:r>
      <w:r w:rsidRPr="003D7ADF"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  <w:t xml:space="preserve">عوى الرهان </w:t>
      </w:r>
      <w:proofErr w:type="spellStart"/>
      <w:r w:rsidRPr="003D7ADF"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  <w:t>او</w:t>
      </w:r>
      <w:proofErr w:type="spellEnd"/>
      <w:r w:rsidRPr="003D7ADF">
        <w:rPr>
          <w:rFonts w:ascii="Simplified Arabic" w:hAnsi="Simplified Arabic" w:cs="Simplified Arabic" w:hint="cs"/>
          <w:color w:val="000000" w:themeColor="text1"/>
          <w:sz w:val="32"/>
          <w:szCs w:val="32"/>
          <w:rtl/>
        </w:rPr>
        <w:t xml:space="preserve"> القسم</w:t>
      </w:r>
    </w:p>
    <w:p w:rsidR="005435E7" w:rsidRPr="00397F1A" w:rsidRDefault="00D85985" w:rsidP="00397F1A">
      <w:pPr>
        <w:jc w:val="right"/>
        <w:rPr>
          <w:sz w:val="32"/>
          <w:szCs w:val="32"/>
        </w:rPr>
      </w:pPr>
    </w:p>
    <w:sectPr w:rsidR="005435E7" w:rsidRPr="00397F1A" w:rsidSect="003F5FDB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05CC6"/>
    <w:multiLevelType w:val="hybridMultilevel"/>
    <w:tmpl w:val="DDD0F054"/>
    <w:lvl w:ilvl="0" w:tplc="FFFFFFFF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3305EE"/>
    <w:multiLevelType w:val="hybridMultilevel"/>
    <w:tmpl w:val="5E684776"/>
    <w:lvl w:ilvl="0" w:tplc="FFFFFFFF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DC54458"/>
    <w:multiLevelType w:val="hybridMultilevel"/>
    <w:tmpl w:val="5894AF56"/>
    <w:lvl w:ilvl="0" w:tplc="FFFFFFFF">
      <w:start w:val="1"/>
      <w:numFmt w:val="arabicAlpha"/>
      <w:lvlText w:val="%1-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97F1A"/>
    <w:rsid w:val="002D6947"/>
    <w:rsid w:val="00397F1A"/>
    <w:rsid w:val="003F5FDB"/>
    <w:rsid w:val="005D2FA7"/>
    <w:rsid w:val="007A4338"/>
    <w:rsid w:val="00802680"/>
    <w:rsid w:val="00D8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1A"/>
    <w:pPr>
      <w:bidi/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F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2024-03-18T06:54:00Z</dcterms:created>
  <dcterms:modified xsi:type="dcterms:W3CDTF">2024-03-18T07:13:00Z</dcterms:modified>
</cp:coreProperties>
</file>