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F7" w:rsidRDefault="00663EF7" w:rsidP="00BB009B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كلية المنصور الجامعة / قسم القانون </w:t>
      </w:r>
    </w:p>
    <w:p w:rsidR="003B0FE2" w:rsidRDefault="00663EF7" w:rsidP="00BB009B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المرحلة </w:t>
      </w: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الاولى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/ </w:t>
      </w:r>
      <w:r w:rsidR="003B0FE2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تاريخ القانون </w:t>
      </w:r>
      <w:r w:rsidR="005904BF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       مدرس المادة : م.م.راجحة محمود شهاب</w:t>
      </w:r>
    </w:p>
    <w:p w:rsidR="00BB009B" w:rsidRDefault="00BB009B" w:rsidP="003B0FE2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F1DBD">
        <w:rPr>
          <w:rFonts w:ascii="Simplified Arabic" w:hAnsi="Simplified Arabic" w:cs="Simplified Arabic"/>
          <w:b/>
          <w:bCs/>
          <w:sz w:val="32"/>
          <w:szCs w:val="32"/>
          <w:rtl/>
        </w:rPr>
        <w:t>تطور القانون و وسائله</w:t>
      </w:r>
    </w:p>
    <w:p w:rsidR="003B0FE2" w:rsidRPr="005F1DBD" w:rsidRDefault="003B0FE2" w:rsidP="003B0FE2">
      <w:pPr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3B0FE2">
        <w:rPr>
          <w:rFonts w:ascii="Simplified Arabic" w:hAnsi="Simplified Arabic" w:cs="Simplified Arabic" w:hint="cs"/>
          <w:b/>
          <w:bCs/>
          <w:color w:val="FF0000"/>
          <w:sz w:val="32"/>
          <w:szCs w:val="32"/>
          <w:highlight w:val="yellow"/>
          <w:rtl/>
        </w:rPr>
        <w:t>ماهي</w:t>
      </w:r>
      <w:proofErr w:type="spellEnd"/>
      <w:r w:rsidRPr="003B0FE2">
        <w:rPr>
          <w:rFonts w:ascii="Simplified Arabic" w:hAnsi="Simplified Arabic" w:cs="Simplified Arabic" w:hint="cs"/>
          <w:b/>
          <w:bCs/>
          <w:color w:val="FF0000"/>
          <w:sz w:val="32"/>
          <w:szCs w:val="32"/>
          <w:highlight w:val="yellow"/>
          <w:rtl/>
        </w:rPr>
        <w:t xml:space="preserve"> وسائل تطور الشرائع القانونية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؟</w:t>
      </w:r>
    </w:p>
    <w:p w:rsidR="00BB009B" w:rsidRPr="005F1DBD" w:rsidRDefault="003B0FE2" w:rsidP="003B0FE2">
      <w:pPr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وسائل تطوير الشرائع القانو</w:t>
      </w:r>
      <w:r>
        <w:rPr>
          <w:rFonts w:ascii="Simplified Arabic" w:hAnsi="Simplified Arabic" w:cs="Simplified Arabic" w:hint="cs"/>
          <w:sz w:val="32"/>
          <w:szCs w:val="32"/>
          <w:rtl/>
        </w:rPr>
        <w:t>ن</w:t>
      </w:r>
      <w:r w:rsidR="00BB009B" w:rsidRPr="005F1DBD">
        <w:rPr>
          <w:rFonts w:ascii="Simplified Arabic" w:hAnsi="Simplified Arabic" w:cs="Simplified Arabic"/>
          <w:sz w:val="32"/>
          <w:szCs w:val="32"/>
          <w:rtl/>
        </w:rPr>
        <w:t>ية ثلاث هي حسب تعاقب ظهورها في تاريخ الشرائع :</w:t>
      </w:r>
    </w:p>
    <w:p w:rsidR="00BB009B" w:rsidRPr="005F1DBD" w:rsidRDefault="00BB009B" w:rsidP="00BB009B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الحيلة القانونية .</w:t>
      </w:r>
    </w:p>
    <w:p w:rsidR="00BB009B" w:rsidRPr="005F1DBD" w:rsidRDefault="00BB009B" w:rsidP="00BB009B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مبادئ العدالة.</w:t>
      </w:r>
    </w:p>
    <w:p w:rsidR="00BB009B" w:rsidRPr="005F1DBD" w:rsidRDefault="00BB009B" w:rsidP="00BB009B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التشريع.</w:t>
      </w:r>
    </w:p>
    <w:p w:rsidR="00BB009B" w:rsidRDefault="000B4971" w:rsidP="00BB009B">
      <w:pPr>
        <w:jc w:val="both"/>
        <w:rPr>
          <w:rFonts w:ascii="Simplified Arabic" w:hAnsi="Simplified Arabic" w:cs="Simplified Arabic" w:hint="cs"/>
          <w:b/>
          <w:bCs/>
          <w:i/>
          <w:iCs/>
          <w:color w:val="FF0000"/>
          <w:sz w:val="32"/>
          <w:szCs w:val="32"/>
          <w:rtl/>
        </w:rPr>
      </w:pPr>
      <w:proofErr w:type="spellStart"/>
      <w:r w:rsidRPr="00A102C9">
        <w:rPr>
          <w:rFonts w:ascii="Simplified Arabic" w:hAnsi="Simplified Arabic" w:cs="Simplified Arabic" w:hint="cs"/>
          <w:b/>
          <w:bCs/>
          <w:i/>
          <w:iCs/>
          <w:color w:val="FF0000"/>
          <w:sz w:val="32"/>
          <w:szCs w:val="32"/>
          <w:highlight w:val="yellow"/>
          <w:rtl/>
        </w:rPr>
        <w:t>ماالمقصود</w:t>
      </w:r>
      <w:proofErr w:type="spellEnd"/>
      <w:r w:rsidRPr="00A102C9">
        <w:rPr>
          <w:rFonts w:ascii="Simplified Arabic" w:hAnsi="Simplified Arabic" w:cs="Simplified Arabic" w:hint="cs"/>
          <w:b/>
          <w:bCs/>
          <w:i/>
          <w:iCs/>
          <w:color w:val="FF0000"/>
          <w:sz w:val="32"/>
          <w:szCs w:val="32"/>
          <w:highlight w:val="yellow"/>
          <w:rtl/>
        </w:rPr>
        <w:t xml:space="preserve"> بالحيلة القانونية؟</w:t>
      </w:r>
    </w:p>
    <w:p w:rsidR="00466C86" w:rsidRPr="00A102C9" w:rsidRDefault="00466C86" w:rsidP="00BB009B">
      <w:pPr>
        <w:jc w:val="both"/>
        <w:rPr>
          <w:rFonts w:ascii="Simplified Arabic" w:hAnsi="Simplified Arabic" w:cs="Simplified Arabic"/>
          <w:b/>
          <w:bCs/>
          <w:i/>
          <w:iCs/>
          <w:color w:val="FF0000"/>
          <w:sz w:val="32"/>
          <w:szCs w:val="32"/>
          <w:rtl/>
        </w:rPr>
      </w:pPr>
    </w:p>
    <w:p w:rsidR="00BB009B" w:rsidRPr="00466C86" w:rsidRDefault="00BB009B" w:rsidP="00466C86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  <w:r w:rsidRPr="00466C86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الحيلة القانونية</w:t>
      </w:r>
    </w:p>
    <w:p w:rsidR="00BB009B" w:rsidRPr="00466C86" w:rsidRDefault="00BB009B" w:rsidP="00466C86">
      <w:pPr>
        <w:jc w:val="center"/>
        <w:rPr>
          <w:rFonts w:asciiTheme="majorBidi" w:hAnsiTheme="majorBidi" w:cstheme="majorBidi"/>
          <w:color w:val="FF0000"/>
          <w:sz w:val="32"/>
          <w:szCs w:val="32"/>
          <w:rtl/>
        </w:rPr>
      </w:pPr>
    </w:p>
    <w:p w:rsidR="00BB009B" w:rsidRPr="005F1DBD" w:rsidRDefault="00BB009B" w:rsidP="00BB009B">
      <w:pPr>
        <w:pStyle w:val="a3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تعريف الحيلة القانونية :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افتراض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مخالف للحقيقة و الواقع للتوصل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تغيير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دون التعرض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نصوصه. </w:t>
      </w:r>
    </w:p>
    <w:p w:rsidR="00BB009B" w:rsidRPr="005F1DBD" w:rsidRDefault="00BB009B" w:rsidP="00BB009B">
      <w:pPr>
        <w:pStyle w:val="a3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كانت الحيلة القانونية أولى الوسائل التي استعملها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في تطوير حكم القانون . حيث كان القانون في ذلك الوقت داخلا في نطاق الدين ويبلغ مرحلة التقديس . لكن شعر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بعض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القانونية تحتاج إضافة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الإلغاء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لانها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لم تعد ملائمة للظروف التي يعيش فيها ولكنه لم يكن يجرأ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يمس نصوصها وللتخلص من هذا المأزق لجأ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التحايل على النصوص بافتراض أمور لا سند لها في الواقع .</w:t>
      </w:r>
    </w:p>
    <w:p w:rsidR="00BB009B" w:rsidRPr="00D71D4A" w:rsidRDefault="00D71D4A" w:rsidP="00BB009B">
      <w:pPr>
        <w:pStyle w:val="a3"/>
        <w:jc w:val="both"/>
        <w:rPr>
          <w:rFonts w:ascii="Simplified Arabic" w:hAnsi="Simplified Arabic" w:cs="Simplified Arabic"/>
          <w:color w:val="FF0000"/>
          <w:sz w:val="32"/>
          <w:szCs w:val="32"/>
          <w:rtl/>
        </w:rPr>
      </w:pPr>
      <w:proofErr w:type="spellStart"/>
      <w:r w:rsidRPr="00D71D4A">
        <w:rPr>
          <w:rFonts w:ascii="Simplified Arabic" w:hAnsi="Simplified Arabic" w:cs="Simplified Arabic" w:hint="cs"/>
          <w:color w:val="FF0000"/>
          <w:sz w:val="32"/>
          <w:szCs w:val="32"/>
          <w:highlight w:val="yellow"/>
          <w:rtl/>
        </w:rPr>
        <w:t>ماهي</w:t>
      </w:r>
      <w:proofErr w:type="spellEnd"/>
      <w:r w:rsidRPr="00D71D4A">
        <w:rPr>
          <w:rFonts w:ascii="Simplified Arabic" w:hAnsi="Simplified Arabic" w:cs="Simplified Arabic" w:hint="cs"/>
          <w:color w:val="FF0000"/>
          <w:sz w:val="32"/>
          <w:szCs w:val="32"/>
          <w:highlight w:val="yellow"/>
          <w:rtl/>
        </w:rPr>
        <w:t xml:space="preserve"> صور الحيلة القانونية</w:t>
      </w:r>
      <w:r>
        <w:rPr>
          <w:rFonts w:ascii="Simplified Arabic" w:hAnsi="Simplified Arabic" w:cs="Simplified Arabic" w:hint="cs"/>
          <w:color w:val="FF0000"/>
          <w:sz w:val="32"/>
          <w:szCs w:val="32"/>
          <w:rtl/>
        </w:rPr>
        <w:t>؟</w:t>
      </w:r>
    </w:p>
    <w:p w:rsidR="00BB009B" w:rsidRPr="005F1DBD" w:rsidRDefault="00BB009B" w:rsidP="00BB009B">
      <w:pPr>
        <w:pStyle w:val="a3"/>
        <w:jc w:val="both"/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</w:pPr>
      <w:r w:rsidRPr="005F1DB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  <w:t>صور الحيلة القانونية</w:t>
      </w:r>
    </w:p>
    <w:p w:rsidR="00BB009B" w:rsidRPr="005F1DBD" w:rsidRDefault="00BB009B" w:rsidP="00BB009B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الحيلة القانونية أداة قضائية لحماية الحقوق وتوسيع سلطة المحاكم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( أ- الدعوى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البوليكانية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ب- حماية حقوق الأجنبي ج- حماية الحقوق المترتبة على الأراضي الإقليمية د- الإرث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البريتوري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)</w:t>
      </w:r>
    </w:p>
    <w:p w:rsidR="00BB009B" w:rsidRPr="005F1DBD" w:rsidRDefault="00BB009B" w:rsidP="00BB009B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الحيلة القانونية تصرف صوري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لابرام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بعض العقود الجديدة التي لم يكن القانون قد اقرها بعد .</w:t>
      </w:r>
    </w:p>
    <w:p w:rsidR="00BB009B" w:rsidRPr="005F1DBD" w:rsidRDefault="00BB009B" w:rsidP="00BB009B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الحيلة القانونية افتراض خيالي لصلة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قراية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من اجل ترتيب نتائج لا تترتب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عليها .</w:t>
      </w:r>
    </w:p>
    <w:p w:rsidR="00BB009B" w:rsidRPr="005F1DBD" w:rsidRDefault="00BB009B" w:rsidP="00BB009B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الحيلة القانونية وسيلة لتبرير بعض النظم القانونية والسياسية.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</w:rPr>
      </w:pP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سنأخذ فقط جزء من صور الحيلة القانونية وليس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جميعهاونبدء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بالصورة الأولى حيث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الصورة الأولى فيها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جزئين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جزء يتعلق بالحقوق والجزء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الاخر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بالمحاكم . وسنوضحها في يلي:</w:t>
      </w:r>
    </w:p>
    <w:p w:rsidR="00BB009B" w:rsidRPr="00466C86" w:rsidRDefault="00BB009B" w:rsidP="00BB009B">
      <w:pPr>
        <w:pStyle w:val="a3"/>
        <w:ind w:left="1080"/>
        <w:jc w:val="both"/>
        <w:rPr>
          <w:rFonts w:asciiTheme="majorBidi" w:hAnsiTheme="majorBidi" w:cstheme="majorBidi"/>
          <w:sz w:val="32"/>
          <w:szCs w:val="32"/>
          <w:rtl/>
        </w:rPr>
      </w:pPr>
      <w:r w:rsidRPr="00466C86">
        <w:rPr>
          <w:rFonts w:asciiTheme="majorBidi" w:hAnsiTheme="majorBidi" w:cstheme="majorBidi"/>
          <w:sz w:val="32"/>
          <w:szCs w:val="32"/>
          <w:rtl/>
        </w:rPr>
        <w:t xml:space="preserve">*الحيلة القانونية أداة قضائية للاعتراف بحقوق لم يكن القانون </w:t>
      </w:r>
      <w:proofErr w:type="spellStart"/>
      <w:r w:rsidRPr="00466C86">
        <w:rPr>
          <w:rFonts w:asciiTheme="majorBidi" w:hAnsiTheme="majorBidi" w:cstheme="majorBidi"/>
          <w:sz w:val="32"/>
          <w:szCs w:val="32"/>
          <w:rtl/>
        </w:rPr>
        <w:t>يعترف</w:t>
      </w:r>
      <w:proofErr w:type="spellEnd"/>
      <w:r w:rsidRPr="00466C86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466C86">
        <w:rPr>
          <w:rFonts w:asciiTheme="majorBidi" w:hAnsiTheme="majorBidi" w:cstheme="majorBidi"/>
          <w:sz w:val="32"/>
          <w:szCs w:val="32"/>
          <w:rtl/>
        </w:rPr>
        <w:t>بها</w:t>
      </w:r>
      <w:proofErr w:type="spellEnd"/>
      <w:r w:rsidRPr="00466C86">
        <w:rPr>
          <w:rFonts w:asciiTheme="majorBidi" w:hAnsiTheme="majorBidi" w:cstheme="majorBidi"/>
          <w:sz w:val="32"/>
          <w:szCs w:val="32"/>
          <w:rtl/>
        </w:rPr>
        <w:t>: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حيث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القوانين القديمة نظمت العلاقات التي كانت معروفة في المجتمع واعترفت بالحقوق التي كان يقرها غير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علاقات جديدة كانت قد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اوجدت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حقوقا لم يقرها القانون ونأخذ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امثلة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على ذلك:</w:t>
      </w:r>
    </w:p>
    <w:p w:rsidR="00BB009B" w:rsidRPr="005F1DBD" w:rsidRDefault="00BB009B" w:rsidP="00BB009B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الدعوى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البوليكانية</w:t>
      </w:r>
      <w:proofErr w:type="spellEnd"/>
    </w:p>
    <w:p w:rsidR="00BB009B" w:rsidRPr="005F1DBD" w:rsidRDefault="00BB009B" w:rsidP="00BB009B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حماية حقوق الأجنبي </w:t>
      </w:r>
    </w:p>
    <w:p w:rsidR="00BB009B" w:rsidRPr="005F1DBD" w:rsidRDefault="00BB009B" w:rsidP="00BB009B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كان القانون الروماني القديم يحمي حقوق الرومان فقط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الأجانب فقد كلن الرومان لا يعترفون لهم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بشئ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من الحقوق والحماية القانونية لكن أراد الرومان بعد ذلك بالاعتراف بحماية حقوق الأجانب فلجئوا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استعمال الحيلة القانونية لتحقيق ذلك فقد كان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البريتور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يفترض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الأجنبي مواطن روماني من اجل الاعتراف بحقوقه في روما.</w:t>
      </w:r>
    </w:p>
    <w:p w:rsidR="00BB009B" w:rsidRPr="005F1DBD" w:rsidRDefault="00BB009B" w:rsidP="00BB009B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ج- حماية الحقوق المترتبة على الأراضي الإقليمية </w:t>
      </w:r>
    </w:p>
    <w:p w:rsidR="00BB009B" w:rsidRPr="005F1DBD" w:rsidRDefault="00BB009B" w:rsidP="00BB009B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د- الإرث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البريتوري</w:t>
      </w:r>
      <w:proofErr w:type="spellEnd"/>
    </w:p>
    <w:p w:rsidR="00BB009B" w:rsidRPr="005F1DBD" w:rsidRDefault="00BB009B" w:rsidP="00BB009B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7442B8" w:rsidRDefault="007442B8" w:rsidP="00BB009B">
      <w:pPr>
        <w:pStyle w:val="a3"/>
        <w:ind w:left="1440"/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7442B8" w:rsidRDefault="007442B8" w:rsidP="007442B8">
      <w:pPr>
        <w:pStyle w:val="a3"/>
        <w:ind w:left="1440"/>
        <w:jc w:val="both"/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</w:pPr>
    </w:p>
    <w:p w:rsidR="007442B8" w:rsidRDefault="007442B8" w:rsidP="007442B8">
      <w:pPr>
        <w:pStyle w:val="a3"/>
        <w:ind w:left="1440"/>
        <w:jc w:val="both"/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</w:pPr>
    </w:p>
    <w:p w:rsidR="00BB009B" w:rsidRDefault="00BB009B" w:rsidP="007442B8">
      <w:pPr>
        <w:pStyle w:val="a3"/>
        <w:ind w:left="1440"/>
        <w:jc w:val="both"/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</w:pPr>
      <w:r w:rsidRPr="007442B8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الحيلة القانونية أداة قضائية لتوحيد السلطة </w:t>
      </w:r>
      <w:proofErr w:type="spellStart"/>
      <w:r w:rsidRPr="007442B8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عندالإنكليز</w:t>
      </w:r>
      <w:proofErr w:type="spellEnd"/>
    </w:p>
    <w:p w:rsidR="007442B8" w:rsidRPr="007442B8" w:rsidRDefault="007442B8" w:rsidP="007442B8">
      <w:pPr>
        <w:pStyle w:val="a3"/>
        <w:ind w:left="1440"/>
        <w:jc w:val="both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7442B8" w:rsidRPr="005F1DBD" w:rsidRDefault="007442B8" w:rsidP="007442B8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Pr="005F1DBD" w:rsidRDefault="00BB009B" w:rsidP="00BB009B">
      <w:pPr>
        <w:pStyle w:val="a3"/>
        <w:ind w:left="144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كان يمارس السلطة القضائية في إنكلترا ثلاثة أصناف من المحاكم هي المحاكم الملكية و المحاكم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الاقطاعية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 المحاكم الكنسية وكانت المحاكم الملكية تسعى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الانفراد بممارسة السلطة القضائية فحاولت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تنتزع الدعاوي المعروضة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المحكمتين السابقتين</w:t>
      </w:r>
      <w:r w:rsidR="00663EF7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>مستعينة بالحيلة القانونية مثال ذلك :</w:t>
      </w:r>
    </w:p>
    <w:p w:rsidR="00BB009B" w:rsidRPr="005F1DBD" w:rsidRDefault="00BB009B" w:rsidP="00BB009B">
      <w:pPr>
        <w:pStyle w:val="a3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كانت تفترض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المتهم الماثل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الاقطاعية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المحكمة الكنسية قد اخل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بامن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الملك وهذا يفترض وضع المتهم تحت حراسة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امين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الملك وان يحاكم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المحكمة الملكية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فأذا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حضر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هذه المحكمة يمكن مقاضاته عن أي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اخر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BB009B" w:rsidRPr="005F1DBD" w:rsidRDefault="00BB009B" w:rsidP="00BB009B">
      <w:pPr>
        <w:pStyle w:val="a3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وافترضت المحكمة الملكية أيضا لتحقيق غايتها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المدعي </w:t>
      </w:r>
      <w:r w:rsidRPr="00663EF7">
        <w:rPr>
          <w:rFonts w:ascii="Simplified Arabic" w:hAnsi="Simplified Arabic" w:cs="Simplified Arabic"/>
          <w:color w:val="FF0000"/>
          <w:sz w:val="32"/>
          <w:szCs w:val="32"/>
          <w:highlight w:val="yellow"/>
          <w:rtl/>
        </w:rPr>
        <w:t>مدين بالضرائب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663EF7">
        <w:rPr>
          <w:rFonts w:ascii="Simplified Arabic" w:hAnsi="Simplified Arabic" w:cs="Simplified Arabic"/>
          <w:color w:val="FF0000"/>
          <w:sz w:val="32"/>
          <w:szCs w:val="32"/>
          <w:highlight w:val="yellow"/>
          <w:rtl/>
        </w:rPr>
        <w:t>للملك وانه عاجز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على الدفع بسبب امتناع المدعي عليه الذي يحاكم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المحكمتين السابقتين وبذلك يصبح المدعي عليه هذا مقصرا بحق الملك ويجب حضوره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المحكمة الملكية للإجابة عن ذلك .</w:t>
      </w:r>
    </w:p>
    <w:p w:rsidR="00BB009B" w:rsidRPr="005F1DBD" w:rsidRDefault="00BB009B" w:rsidP="00BB009B">
      <w:pPr>
        <w:pStyle w:val="a3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واخيرآ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كانت المحاكم الملكية تفترض في دعاوي الأراضي التي هي من اختصاص المحاكم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الاقطاعية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السيد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الاقطاعي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قد تنازل عن السلطة القضائية لمحكمته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الاقطاعية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في النظر في هذه الدعوى لصالح المحكمة الملكية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والان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سنأخذ جزء الصورة الرابعة من الحيلة القانونية 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*الحيلة القانونية وسيلة لتبرير بعض النظم القانونية والسياسية 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هذه الصورة أيضا فيها جزئيين تبرير النظم القانونية والأخر تبرير النظم السياسية سنأخذ فقط تبرير النظم القانونية 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الحيلة القانونية وسيلة لتبرير بعض النظم القانونية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حاول الفقهاء القانونيون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يبرروا النظم القانونية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كالارث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ومصادرة أموال من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ادين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بجريمة مم الجرائم المهمة ومبدأ عدم مسؤولية الملك بافتراض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اكور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بعيدة عن الحقيقة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أ-تبرير الإرث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أراد بعض الفقهاء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الالمان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يبرروا انتقال الأموال من المورث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الوراث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فذهبوا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وحدة الشخصية بينهما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ب-تبرير مصادرة أموال المجرم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برر الفقهاء الإنكليز مصادرة من ارتكب جريمة من الجرائم المهمة كالخيانة العظمى وعدم انتقال هذه الأموال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ورثته بفساد دمه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ج- تبرير عدم مسؤولية الملك 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المسؤولية وفق النظريات التقليدية تستوجب الخطأ وتنعدم بفقدانه لذلك برر الإنكليز مبدأ عدم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اخضاع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ملكهم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مسؤولية بافتراض انه لا يمكن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يخطئ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</w:rPr>
      </w:pPr>
    </w:p>
    <w:p w:rsidR="00BB009B" w:rsidRPr="005F1DBD" w:rsidRDefault="00BB009B" w:rsidP="007442B8">
      <w:pPr>
        <w:pStyle w:val="a3"/>
        <w:ind w:left="1080"/>
        <w:jc w:val="center"/>
        <w:rPr>
          <w:rFonts w:ascii="Simplified Arabic" w:hAnsi="Simplified Arabic" w:cs="Simplified Arabic"/>
          <w:b/>
          <w:bCs/>
          <w:i/>
          <w:iCs/>
          <w:sz w:val="32"/>
          <w:szCs w:val="32"/>
        </w:rPr>
      </w:pPr>
      <w:r w:rsidRPr="005F1DB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  <w:t>مبادئ العدالة</w:t>
      </w:r>
    </w:p>
    <w:p w:rsidR="00BB009B" w:rsidRPr="005F1DBD" w:rsidRDefault="00BB009B" w:rsidP="007442B8">
      <w:pPr>
        <w:pStyle w:val="a3"/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  <w:t>مباديء</w:t>
      </w:r>
      <w:proofErr w:type="spellEnd"/>
      <w:r w:rsidRPr="005F1DB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  <w:t xml:space="preserve"> العدالة: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هي القواعد التي يستوحيها العقل المصيب والنظر السديد من روح العدل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والانصاف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لتعديل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وتكملتها بإضافة نص جديد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الغاء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النص القديم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تعديله. 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وقد استعمل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هذه الوسيلة حينما ضعف تمسكه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باديانه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القديمة وزوال تقديسه للقوانين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المقترنه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فجرأ على التعرض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نصوصها يعدلها و يلغي منها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مايشاء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يضيف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اليها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وبهذا تكون هذه الوسيلة لاحقه على استعمال الحيلة القانونية . 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وتسمى مبادئ العدالة عند اليونان ( قانون الطبيعة ) ولدى الرومان ( قانون الشعوب) .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</w:pPr>
      <w:r w:rsidRPr="005F1DBD"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  <w:lastRenderedPageBreak/>
        <w:t>قانون الطبيعة عند اليونان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لاحظ اليونان بعقلهم الفلسفي الثاقب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الكون بما فيه من حيوان ونبات وجماد يسير حسب نظام محدد وقواعد لا تتبدل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فأعتقدوا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بوجود قوة تسير الكون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اطلق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عليها بعض الفلاسفة اسم الطبيعة . ونسبها بعضهم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الالهة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لذلك احلوا هذا القانون المحل الأول بالنسبة للقانون الذي هو من وضع البشر فعند تعارض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هذه القانون مع القانون الوضعي فأن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تكون واجبة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الاتباع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واعتبروه صورة العدل المطلق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الصالح .</w:t>
      </w:r>
    </w:p>
    <w:p w:rsidR="00BB009B" w:rsidRPr="005F1DBD" w:rsidRDefault="00BB009B" w:rsidP="00BB009B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Pr="007442B8" w:rsidRDefault="00BB009B" w:rsidP="007442B8">
      <w:pPr>
        <w:pStyle w:val="a3"/>
        <w:ind w:left="108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  <w:r w:rsidRPr="007442B8">
        <w:rPr>
          <w:rFonts w:asciiTheme="majorBidi" w:hAnsiTheme="majorBidi" w:cstheme="majorBidi"/>
          <w:b/>
          <w:bCs/>
          <w:color w:val="FF0000"/>
          <w:sz w:val="32"/>
          <w:szCs w:val="32"/>
          <w:highlight w:val="yellow"/>
          <w:rtl/>
        </w:rPr>
        <w:t>قانون الشعوب عند الرومان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كان القانون الروماني قد وضع للرومان وحدهم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الأجنبي عنهم فكان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لايتمتع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بأي حقوق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في بلده ولكن بعد فترة غير الرومان نظرتهم حول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الأجانبفأدى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تطور الحياة الاقتصادية والاجتماعية والسياسية في روما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يقر الرومان بضرورة الاعتراف للأجانب بشيء من الحقوق وبقسط من الحماية القانونية 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فأنشت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سمه 252 قبل الميلاد وظيفة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بريتور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الأجانب ليشرف على تنظيم العلاقات بين الرومان والأجانب فيما بينهم وكان لابد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يكون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للبريتور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قانون يطبقه لهذا الغرض فأخذ الكثير من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الروماني بعد تعديلها كما انه اقتبس من قوانين الشعوب الأخرى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ماثبتت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التجربة صلاحيته وقد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اطلق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على هذه المجموعة من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اسم قانون الشعوب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Default="00BB009B" w:rsidP="007442B8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7442B8">
        <w:rPr>
          <w:rFonts w:asciiTheme="majorBidi" w:hAnsiTheme="majorBidi" w:cstheme="majorBidi"/>
          <w:b/>
          <w:bCs/>
          <w:sz w:val="32"/>
          <w:szCs w:val="32"/>
          <w:rtl/>
        </w:rPr>
        <w:t>مظاهر القانون الطبيعي في العصور الحديثة</w:t>
      </w:r>
    </w:p>
    <w:p w:rsidR="007442B8" w:rsidRPr="007442B8" w:rsidRDefault="007442B8" w:rsidP="007442B8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1-وثيقة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اعلان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الاستقلال الأمريكي.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2-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اراء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جان جاك روسو.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3- وثيقة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اعلان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حقوق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والمواطن الفرنسية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4-مبدأ مراعاة العهود في القانون الدولي العام 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5-القانون الوضعي.</w:t>
      </w: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7442B8" w:rsidRDefault="007442B8" w:rsidP="00BB009B">
      <w:pPr>
        <w:jc w:val="both"/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</w:pPr>
    </w:p>
    <w:p w:rsidR="007442B8" w:rsidRDefault="007442B8" w:rsidP="00BB009B">
      <w:pPr>
        <w:jc w:val="both"/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</w:pPr>
    </w:p>
    <w:p w:rsidR="007442B8" w:rsidRDefault="007442B8" w:rsidP="00BB009B">
      <w:pPr>
        <w:jc w:val="both"/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</w:pPr>
    </w:p>
    <w:p w:rsidR="007442B8" w:rsidRDefault="007442B8" w:rsidP="00BB009B">
      <w:pPr>
        <w:jc w:val="both"/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</w:pPr>
    </w:p>
    <w:p w:rsidR="00BB009B" w:rsidRPr="007442B8" w:rsidRDefault="00BB009B" w:rsidP="007442B8">
      <w:pPr>
        <w:jc w:val="center"/>
        <w:rPr>
          <w:rFonts w:ascii="Simplified Arabic" w:hAnsi="Simplified Arabic" w:cs="Simplified Arabic" w:hint="cs"/>
          <w:b/>
          <w:bCs/>
          <w:sz w:val="36"/>
          <w:szCs w:val="36"/>
          <w:rtl/>
        </w:rPr>
      </w:pPr>
      <w:r w:rsidRPr="007442B8">
        <w:rPr>
          <w:rFonts w:ascii="Simplified Arabic" w:hAnsi="Simplified Arabic" w:cs="Simplified Arabic"/>
          <w:b/>
          <w:bCs/>
          <w:sz w:val="36"/>
          <w:szCs w:val="36"/>
          <w:rtl/>
        </w:rPr>
        <w:t>التشريع</w:t>
      </w:r>
    </w:p>
    <w:p w:rsidR="007442B8" w:rsidRPr="005F1DBD" w:rsidRDefault="007442B8" w:rsidP="00BB009B">
      <w:pPr>
        <w:jc w:val="both"/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</w:pPr>
    </w:p>
    <w:p w:rsidR="00BB009B" w:rsidRPr="005F1DBD" w:rsidRDefault="00BB009B" w:rsidP="00BB009B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B009B" w:rsidRDefault="00BB009B" w:rsidP="00BB009B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للتشريع معنيان عام وخاص المعنى العام للتشريع هو وضع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القانونية واستنباطها من مصادرها المختلفة كالدين والعرف والقضاء والفقه ومبادئ العدالة.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المعنى الخاص للتشريع فهو سن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القانونية من الهيئة التي تملك هذا الحق وقد يمارس السلطة التشريعية فرد مستبد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اقلية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من الحكام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هيئة تمثل مجموع الشعب .</w:t>
      </w:r>
    </w:p>
    <w:p w:rsidR="007442B8" w:rsidRPr="005F1DBD" w:rsidRDefault="007442B8" w:rsidP="0069019C">
      <w:pPr>
        <w:jc w:val="right"/>
        <w:rPr>
          <w:rFonts w:ascii="Simplified Arabic" w:hAnsi="Simplified Arabic" w:cs="Simplified Arabic"/>
          <w:sz w:val="32"/>
          <w:szCs w:val="32"/>
        </w:rPr>
      </w:pPr>
    </w:p>
    <w:p w:rsidR="00BB009B" w:rsidRDefault="00BB009B" w:rsidP="00BB009B">
      <w:pPr>
        <w:ind w:left="720"/>
        <w:jc w:val="both"/>
        <w:rPr>
          <w:rFonts w:ascii="Simplified Arabic" w:hAnsi="Simplified Arabic" w:cs="Simplified Arabic" w:hint="cs"/>
          <w:color w:val="FF0000"/>
          <w:sz w:val="32"/>
          <w:szCs w:val="32"/>
          <w:rtl/>
        </w:rPr>
      </w:pPr>
      <w:r w:rsidRPr="007442B8">
        <w:rPr>
          <w:rFonts w:ascii="Simplified Arabic" w:hAnsi="Simplified Arabic" w:cs="Simplified Arabic"/>
          <w:color w:val="FF0000"/>
          <w:sz w:val="32"/>
          <w:szCs w:val="32"/>
          <w:highlight w:val="yellow"/>
          <w:rtl/>
        </w:rPr>
        <w:t>وجهة الشبه والاختلاف بين التشريع و الحيلة القانونية ومبادئ العدالة</w:t>
      </w:r>
    </w:p>
    <w:p w:rsidR="007442B8" w:rsidRPr="007442B8" w:rsidRDefault="007442B8" w:rsidP="00BB009B">
      <w:pPr>
        <w:ind w:left="720"/>
        <w:jc w:val="both"/>
        <w:rPr>
          <w:rFonts w:ascii="Simplified Arabic" w:hAnsi="Simplified Arabic" w:cs="Simplified Arabic"/>
          <w:color w:val="FF0000"/>
          <w:sz w:val="32"/>
          <w:szCs w:val="32"/>
          <w:rtl/>
        </w:rPr>
      </w:pP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استعمل التشريع بعد استعمال كل من الحيلة القانونية ومبادئ العدالة</w:t>
      </w: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بم يستعن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حينما جرأ على تغيير حكم القانون بتبديل نصوصه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الغائها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يختلف التشريع عن الحيلة القانونية بأنه وسيلة مباشرة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لاحاجة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فيه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افتراض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مخالف للحقيقة والواقع .</w:t>
      </w: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التشريع يشابه بكونه وسيلة مباشرة مبادئ العدالة ولكنه يختلف عنها بكونه يستمد قوته الملزمة من الهيئة التي أصدرته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مبادئ العدالة فتعتمد في ذلك على اعتقاد الناس بعدالة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التي جاءت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lastRenderedPageBreak/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التشريع يختلف عن مبادئ العدالة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بايجاز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صيغته و وضوح عبارته وثبات نصوصه.</w:t>
      </w:r>
    </w:p>
    <w:p w:rsidR="00BB009B" w:rsidRPr="005F1DBD" w:rsidRDefault="00BB009B" w:rsidP="00BB009B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التشريع يمثل المرحلة الأخيرة من مراحل تطور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69019C" w:rsidRPr="00BB009B" w:rsidRDefault="0069019C" w:rsidP="00BB009B">
      <w:pPr>
        <w:jc w:val="right"/>
        <w:rPr>
          <w:sz w:val="32"/>
          <w:szCs w:val="32"/>
        </w:rPr>
      </w:pPr>
    </w:p>
    <w:sectPr w:rsidR="0069019C" w:rsidRPr="00BB009B" w:rsidSect="007C26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3646"/>
    <w:multiLevelType w:val="hybridMultilevel"/>
    <w:tmpl w:val="CCECEF4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4469"/>
    <w:multiLevelType w:val="hybridMultilevel"/>
    <w:tmpl w:val="832A7946"/>
    <w:lvl w:ilvl="0" w:tplc="FFFFFFFF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19673E"/>
    <w:multiLevelType w:val="hybridMultilevel"/>
    <w:tmpl w:val="FB0C8DC2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F62CCB"/>
    <w:multiLevelType w:val="hybridMultilevel"/>
    <w:tmpl w:val="59FC9B0E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73470E"/>
    <w:multiLevelType w:val="hybridMultilevel"/>
    <w:tmpl w:val="60A40F22"/>
    <w:lvl w:ilvl="0" w:tplc="FFFFFFFF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BB009B"/>
    <w:rsid w:val="000B4971"/>
    <w:rsid w:val="003B0FE2"/>
    <w:rsid w:val="003C1757"/>
    <w:rsid w:val="00466C86"/>
    <w:rsid w:val="005417CE"/>
    <w:rsid w:val="00552248"/>
    <w:rsid w:val="005904BF"/>
    <w:rsid w:val="00663EF7"/>
    <w:rsid w:val="0069019C"/>
    <w:rsid w:val="007442B8"/>
    <w:rsid w:val="007A4338"/>
    <w:rsid w:val="007C2646"/>
    <w:rsid w:val="00802680"/>
    <w:rsid w:val="00A102C9"/>
    <w:rsid w:val="00BB009B"/>
    <w:rsid w:val="00D7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9B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0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2024-03-08T20:58:00Z</dcterms:created>
  <dcterms:modified xsi:type="dcterms:W3CDTF">2024-03-18T06:21:00Z</dcterms:modified>
</cp:coreProperties>
</file>