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57" w:rsidRPr="00FE2C7F" w:rsidRDefault="00AF0457" w:rsidP="002B633F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AF0457" w:rsidRPr="00FE2C7F" w:rsidRDefault="00AF0457" w:rsidP="00AF0457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AF0457" w:rsidRPr="00FE2C7F" w:rsidRDefault="00AF0457" w:rsidP="00AF0457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AF0457" w:rsidRPr="00FE2C7F" w:rsidRDefault="00AF0457" w:rsidP="00AF0457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AF0457" w:rsidRPr="00FE2C7F" w:rsidRDefault="00AF0457" w:rsidP="00AF0457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AF0457" w:rsidRDefault="00AF0457" w:rsidP="00AF0457">
      <w:pPr>
        <w:jc w:val="center"/>
        <w:rPr>
          <w:rFonts w:asciiTheme="majorBidi" w:hAnsiTheme="majorBidi" w:cstheme="majorBidi"/>
          <w:b/>
          <w:bCs/>
          <w:i/>
          <w:iCs/>
          <w:color w:val="4BACC6" w:themeColor="accent5"/>
          <w:sz w:val="32"/>
          <w:szCs w:val="32"/>
          <w:rtl/>
        </w:rPr>
      </w:pPr>
    </w:p>
    <w:p w:rsidR="00FE2C7F" w:rsidRPr="002B633F" w:rsidRDefault="00FE2C7F" w:rsidP="00AF0457">
      <w:pPr>
        <w:jc w:val="center"/>
        <w:rPr>
          <w:rFonts w:asciiTheme="majorBidi" w:hAnsiTheme="majorBidi" w:cstheme="majorBidi"/>
          <w:b/>
          <w:bCs/>
          <w:i/>
          <w:iCs/>
          <w:color w:val="4BACC6" w:themeColor="accent5"/>
          <w:sz w:val="32"/>
          <w:szCs w:val="32"/>
          <w:rtl/>
        </w:rPr>
      </w:pPr>
    </w:p>
    <w:p w:rsidR="00AF0457" w:rsidRPr="00FE2C7F" w:rsidRDefault="00AF0457" w:rsidP="00AF0457">
      <w:pPr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FE2C7F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السلطة </w:t>
      </w:r>
      <w:proofErr w:type="spellStart"/>
      <w:r w:rsidRPr="00FE2C7F">
        <w:rPr>
          <w:rFonts w:asciiTheme="majorBidi" w:hAnsiTheme="majorBidi" w:cstheme="majorBidi"/>
          <w:b/>
          <w:bCs/>
          <w:sz w:val="36"/>
          <w:szCs w:val="36"/>
          <w:rtl/>
        </w:rPr>
        <w:t>الابوية</w:t>
      </w:r>
      <w:proofErr w:type="spellEnd"/>
      <w:r w:rsidRPr="00FE2C7F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في القانون الروماني</w:t>
      </w:r>
    </w:p>
    <w:p w:rsidR="00AF0457" w:rsidRPr="00A80FC7" w:rsidRDefault="00AF0457" w:rsidP="00AF0457"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توصف 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في القانون الروماني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بانها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مطلقة من حيث المدة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والاشخاص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والاموال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1</w:t>
      </w:r>
      <w:r w:rsidRPr="00A80FC7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-المدة</w:t>
      </w:r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:</w:t>
      </w: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هذه السلطة نطاقها الزمني هو حياة رب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وتمتعه بالشخصية القانونية, طالما لم يخرج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الاولاد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عن نطاق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بالتبني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التحرير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تتزوج بنته زواجاً مع السيادة.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2-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الاشخاص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 xml:space="preserve"> الذين تمتد لهم السلطة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الابوية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:</w:t>
      </w: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كان هو السيد المطلق على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ابنائه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ونسائهم فكان يملك حق الحياة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الموت وله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يبيعهم عقاباً لهم وله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يطالب بهم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اذا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استولى عليهم الغير فله حق المطالبة بهم واستردادهم ولا يتزوجون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بموافقته.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 xml:space="preserve">3-نطاق السلطة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الابوية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 xml:space="preserve"> من حيث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الاموال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:</w:t>
      </w: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كانت جميع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اموال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ملكاً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للاب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يتصرف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بها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تصرفاً مطلقاً حال حياته وبالوصية بعد الموت. وكل ما يكسبه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الابناء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يعود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لابيهم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.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اما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ما يترتب على الابن من ديون فلم يكن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يلتزم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بها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الاضرار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التي تنتج عن جريمة, وفي هذه الحالة كان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مخيراً بين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يدفع التعويض اللازم لجبر الضرر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تسليم ابنه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الى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عائلة المجني عليه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المتضرر.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هذا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اصابه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بعض التطور لاحقاً فيما يتعلق بسلطة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في المعارضة في زواج ابنته دون مبرر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تمتع الابن بشيء من الذمة المالية.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 </w:t>
      </w:r>
    </w:p>
    <w:p w:rsidR="00AF0457" w:rsidRDefault="00AF0457" w:rsidP="000C4DE9">
      <w:pPr>
        <w:pStyle w:val="s3"/>
        <w:bidi/>
        <w:spacing w:before="0" w:beforeAutospacing="0" w:after="0" w:afterAutospacing="0" w:line="276" w:lineRule="auto"/>
        <w:jc w:val="center"/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مصادر السلطة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الابوية</w:t>
      </w:r>
      <w:proofErr w:type="spellEnd"/>
    </w:p>
    <w:p w:rsidR="000C4DE9" w:rsidRPr="00A80FC7" w:rsidRDefault="000C4DE9" w:rsidP="000C4DE9">
      <w:pPr>
        <w:pStyle w:val="s3"/>
        <w:bidi/>
        <w:spacing w:before="0" w:beforeAutospacing="0" w:after="0" w:afterAutospacing="0" w:line="276" w:lineRule="auto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الولادة من الزواج الشرعي والتبني ومنح البنوة الشرعية.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</w:t>
      </w:r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ولاً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: التبني</w:t>
      </w: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: نظام قانوني يقصد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به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ايجاد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علاقة بين شخص وآخر, خلق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ابوة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صناعية تترتب عليها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الاثار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التي تترتب على العلاقة بين الولد وابنه. وينتج التبني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الاثار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التي تنتجها البنوة المتولدة عن زواج شرعي.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وقد عرف الرومان نظامين للتبني بالنسبة للمتبني:</w:t>
      </w:r>
    </w:p>
    <w:p w:rsidR="00AF0457" w:rsidRPr="00A80FC7" w:rsidRDefault="00AF0457" w:rsidP="00AF0457">
      <w:pPr>
        <w:pStyle w:val="s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تبني الشخص المستقل بحقوقه.</w:t>
      </w:r>
    </w:p>
    <w:p w:rsidR="00AF0457" w:rsidRPr="00A80FC7" w:rsidRDefault="00AF0457" w:rsidP="00AF0457">
      <w:pPr>
        <w:pStyle w:val="s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lastRenderedPageBreak/>
        <w:t>تبني الشخص الخاضع لسلطان غيره.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 </w:t>
      </w:r>
    </w:p>
    <w:p w:rsidR="00AF0457" w:rsidRPr="00A80FC7" w:rsidRDefault="00AF0457" w:rsidP="00AF0457">
      <w:pPr>
        <w:pStyle w:val="s3"/>
        <w:numPr>
          <w:ilvl w:val="0"/>
          <w:numId w:val="2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تبني الشخص المستقل بحقوقه</w:t>
      </w: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: بمقتضى هذا النمط من التبني يدخل رب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في عائلة رب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اخرى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باعتباره ابناً لها ويشترط لكي يتم هذا التبني صحيحاً: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1-مصادقة المجالس الشعبية عليه.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2-تدخل الكهنة في عملية التبني.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3-كون المتبني رجلاً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اهلاً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لاكتساب السلطة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الابوية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بلغ الستين من العمر وليس له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اولاد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ذكور.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4-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يتحقق رضا المتبني وان كان قاصراً فبموافقة وصيه. ولكن التبني في هذه الحالة لا يعتبر تاماً ونهائياً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بالبلوغ والرضا.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AF0457" w:rsidRPr="00BC5749" w:rsidRDefault="00AF0457" w:rsidP="00BC5749">
      <w:pPr>
        <w:pStyle w:val="s3"/>
        <w:bidi/>
        <w:spacing w:before="0" w:beforeAutospacing="0" w:after="0" w:afterAutospacing="0" w:line="276" w:lineRule="auto"/>
        <w:jc w:val="center"/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  <w:proofErr w:type="spellStart"/>
      <w:r w:rsidRPr="00BC5749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اما</w:t>
      </w:r>
      <w:proofErr w:type="spellEnd"/>
      <w:r w:rsidRPr="00BC5749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 </w:t>
      </w:r>
      <w:proofErr w:type="spellStart"/>
      <w:r w:rsidRPr="00BC5749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الاثار</w:t>
      </w:r>
      <w:proofErr w:type="spellEnd"/>
      <w:r w:rsidRPr="00BC5749">
        <w:rPr>
          <w:rStyle w:val="bumpedfont15"/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 المترتبة على التبني في هذه الحالة </w:t>
      </w:r>
    </w:p>
    <w:p w:rsidR="00A80FC7" w:rsidRPr="00BC5749" w:rsidRDefault="00A80FC7" w:rsidP="00A80FC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يدخل المتبني ومن هم تابعون له في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الاصل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في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المتبني ويخضعون لسلطته كما لو كان والداً شرعياً.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انتهاء سلطة القرابة المدنية بين المتبني وعشيرته السابقة ويصبح ميتاً بالنسبة لهم ويحكم عليه بالموت المدني لتغير صفته العائلية.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تصبح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املاك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المتبني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وامواله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مملوكة للمتبني وتنتهي ذمة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الاموال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المالية.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 </w:t>
      </w:r>
    </w:p>
    <w:p w:rsidR="00AF0457" w:rsidRPr="00A80FC7" w:rsidRDefault="00AF0457" w:rsidP="00AF0457">
      <w:pPr>
        <w:pStyle w:val="s3"/>
        <w:numPr>
          <w:ilvl w:val="0"/>
          <w:numId w:val="2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تبني الخاضع لسلطة غيره: وهو ذلك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الاجراء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القانوني الذي يتم بمقتضاه نقل شخص ذكراً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ام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انثى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خاضع لسلطة رب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الى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رب سلطة رب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اخرى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ولكي يتحقق هذا العمل القانوني صحيحاً يستلزم القانون توفر الشروط التالية: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1-موافقة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الابوين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وقد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اضاف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الامبراطور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الى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ذلك موافقة الابن المتبنى.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2-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يكون المتبني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اهلاً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لاكتساب السلطة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الابوية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3-يجب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يكون فارق في السن بين المتبني والمتبنى حدده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جستنيان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بثمان عشرة سنة.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 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اثار</w:t>
      </w:r>
      <w:r w:rsidRPr="00A80FC7">
        <w:rPr>
          <w:rStyle w:val="bumpedfont15"/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ه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: يصبح المتبنى كالمولود من زواج شرعي بالنسبة للعائلة التي تبنته ويخضع لسلطة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الاسرة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الجديدة ولكن لا يترتب على هذا النوع من التبني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اية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اثار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مالية لان الخاضع لسلطة غيره ليس له ذمة مالية في القانون.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lastRenderedPageBreak/>
        <w:t xml:space="preserve">ثانياً:منح البنوة الشرعية: في هذه الحالة يمنح الولد الناتج من المعاشرة (الزواج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تصحيح النسب) صفة الابن الشرعي فيدخل في سلطة من عاشر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امه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كما كان من زواج شرعي ويتحقق ذلك بما يلي:</w:t>
      </w:r>
    </w:p>
    <w:p w:rsidR="00AF0457" w:rsidRPr="00A80FC7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*الزواج اللاحق بين الرجل وخليلته.</w:t>
      </w:r>
    </w:p>
    <w:p w:rsidR="00A80FC7" w:rsidRPr="00A80FC7" w:rsidRDefault="00AF0457" w:rsidP="007E2CB4">
      <w:pPr>
        <w:pStyle w:val="s3"/>
        <w:bidi/>
        <w:spacing w:before="0" w:beforeAutospacing="0" w:after="0" w:afterAutospacing="0" w:line="276" w:lineRule="auto"/>
        <w:jc w:val="both"/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*بقرار من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الامبراطور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في حالة عدم قيام الزواج لوفاة </w:t>
      </w:r>
      <w:proofErr w:type="spellStart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</w:t>
      </w:r>
      <w:proofErr w:type="spellEnd"/>
      <w:r w:rsidRPr="00A80FC7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.</w:t>
      </w:r>
    </w:p>
    <w:p w:rsidR="00A80FC7" w:rsidRPr="00A80FC7" w:rsidRDefault="00A80FC7" w:rsidP="00A80FC7">
      <w:pPr>
        <w:pStyle w:val="s3"/>
        <w:bidi/>
        <w:spacing w:before="0" w:beforeAutospacing="0" w:after="0" w:afterAutospacing="0" w:line="276" w:lineRule="auto"/>
        <w:jc w:val="both"/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A80FC7" w:rsidRPr="00A80FC7" w:rsidRDefault="00A80FC7" w:rsidP="00A80FC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AF0457" w:rsidRDefault="00AF0457" w:rsidP="007E2CB4">
      <w:pPr>
        <w:pStyle w:val="s3"/>
        <w:bidi/>
        <w:spacing w:before="0" w:beforeAutospacing="0" w:after="0" w:afterAutospacing="0" w:line="276" w:lineRule="auto"/>
        <w:jc w:val="center"/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</w:pPr>
      <w:r w:rsidRPr="007E2CB4">
        <w:rPr>
          <w:rFonts w:asciiTheme="majorBidi" w:hAnsiTheme="majorBidi" w:cstheme="majorBidi"/>
          <w:b/>
          <w:bCs/>
          <w:color w:val="FF0000"/>
          <w:sz w:val="32"/>
          <w:szCs w:val="32"/>
          <w:highlight w:val="yellow"/>
          <w:rtl/>
        </w:rPr>
        <w:t xml:space="preserve">انقضاء السلطة </w:t>
      </w:r>
      <w:proofErr w:type="spellStart"/>
      <w:r w:rsidRPr="007E2CB4">
        <w:rPr>
          <w:rFonts w:asciiTheme="majorBidi" w:hAnsiTheme="majorBidi" w:cstheme="majorBidi"/>
          <w:b/>
          <w:bCs/>
          <w:color w:val="FF0000"/>
          <w:sz w:val="32"/>
          <w:szCs w:val="32"/>
          <w:highlight w:val="yellow"/>
          <w:rtl/>
        </w:rPr>
        <w:t>الابوية</w:t>
      </w:r>
      <w:proofErr w:type="spellEnd"/>
    </w:p>
    <w:p w:rsidR="007E2CB4" w:rsidRPr="000C4DE9" w:rsidRDefault="007E2CB4" w:rsidP="007E2CB4">
      <w:pPr>
        <w:pStyle w:val="s3"/>
        <w:bidi/>
        <w:spacing w:before="0" w:beforeAutospacing="0" w:after="0" w:afterAutospacing="0" w:line="276" w:lineRule="auto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تنقضي السلطة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الابوية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بنوعين من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الاسباب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: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أولا:انقضاء السلطة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الابوية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مع بقاء القرابة للابن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باسرته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ويتحقق ذلك في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الاحوال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التالية: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1-موت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سواء كان ذلك الموت طبيعياً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مدنياً ويقصد بذلك فقده لحريته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وطنيته فيتحرر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الافراد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الذين كانوا خاضعين لسلطته.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2-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ان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يمنح الابن هذه الصفة تكريماً له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اذا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اعتلى مناصب دينية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مدنية.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3-عقاباً للوالد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اذا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نبذ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ترك طفله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حرض على الفجور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في حالة الزنا بالمحارم.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ثانيا:انقضاء السلطة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الابوية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وزوال الرابطة بين الشخص وعائلته ويتحقق الانقضاء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باحدى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الحالات التالية: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1-التبني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الزواج مع السيادة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2-وفاة الابن مدنياً.</w:t>
      </w:r>
    </w:p>
    <w:p w:rsidR="00AF0457" w:rsidRPr="000C4DE9" w:rsidRDefault="00AF0457" w:rsidP="00AF0457">
      <w:pPr>
        <w:pStyle w:val="s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3-التحرير لان التحرير عمل قانوني بخرج بمقتضاه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الاب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ابنه </w:t>
      </w:r>
      <w:proofErr w:type="spellStart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او</w:t>
      </w:r>
      <w:proofErr w:type="spellEnd"/>
      <w:r w:rsidRPr="000C4DE9">
        <w:rPr>
          <w:rStyle w:val="bumpedfont15"/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ابنته من سلطته</w:t>
      </w:r>
    </w:p>
    <w:p w:rsidR="005435E7" w:rsidRDefault="006F0CFC" w:rsidP="00AF0457">
      <w:pPr>
        <w:jc w:val="right"/>
      </w:pPr>
    </w:p>
    <w:sectPr w:rsidR="005435E7" w:rsidSect="000C4DE9">
      <w:pgSz w:w="12240" w:h="15840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3F0D"/>
    <w:multiLevelType w:val="hybridMultilevel"/>
    <w:tmpl w:val="265CFF00"/>
    <w:lvl w:ilvl="0" w:tplc="FFFFFFFF">
      <w:start w:val="1"/>
      <w:numFmt w:val="arabicAlpha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7640E"/>
    <w:multiLevelType w:val="hybridMultilevel"/>
    <w:tmpl w:val="83640788"/>
    <w:lvl w:ilvl="0" w:tplc="FFFFFFFF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F0457"/>
    <w:rsid w:val="000C4DE9"/>
    <w:rsid w:val="002B633F"/>
    <w:rsid w:val="00303494"/>
    <w:rsid w:val="004B3855"/>
    <w:rsid w:val="006F0CFC"/>
    <w:rsid w:val="007A4338"/>
    <w:rsid w:val="007E2CB4"/>
    <w:rsid w:val="007F3885"/>
    <w:rsid w:val="00802680"/>
    <w:rsid w:val="00A80FC7"/>
    <w:rsid w:val="00AF0457"/>
    <w:rsid w:val="00BC5749"/>
    <w:rsid w:val="00D749F6"/>
    <w:rsid w:val="00FE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57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AF0457"/>
    <w:pPr>
      <w:bidi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a0"/>
    <w:rsid w:val="00AF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2024-03-18T06:18:00Z</dcterms:created>
  <dcterms:modified xsi:type="dcterms:W3CDTF">2024-03-18T06:18:00Z</dcterms:modified>
</cp:coreProperties>
</file>