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D9" w:rsidRPr="00FE2C7F" w:rsidRDefault="001D75D9" w:rsidP="001D75D9">
      <w:pPr>
        <w:rPr>
          <w:rFonts w:ascii="Algerian" w:hAnsi="Algerian" w:cstheme="majorBidi"/>
          <w:b/>
          <w:bCs/>
          <w:color w:val="4BACC6" w:themeColor="accent5"/>
          <w:sz w:val="32"/>
          <w:szCs w:val="32"/>
          <w:rtl/>
        </w:rPr>
      </w:pPr>
    </w:p>
    <w:p w:rsidR="001D75D9" w:rsidRPr="00FE2C7F" w:rsidRDefault="001D75D9" w:rsidP="001D75D9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Al-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Mansour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University College</w:t>
      </w:r>
    </w:p>
    <w:p w:rsidR="001D75D9" w:rsidRPr="00FE2C7F" w:rsidRDefault="001D75D9" w:rsidP="001D75D9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Lecture History of Law in the Department Law</w:t>
      </w:r>
    </w:p>
    <w:p w:rsidR="001D75D9" w:rsidRPr="00FE2C7F" w:rsidRDefault="001D75D9" w:rsidP="001D75D9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First of stage of law </w:t>
      </w:r>
    </w:p>
    <w:p w:rsidR="001D75D9" w:rsidRPr="000A3B02" w:rsidRDefault="001D75D9" w:rsidP="001D75D9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  <w:rtl/>
          <w:lang w:bidi="ar-IQ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Instructor: M.M 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rajha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M.Shehab</w:t>
      </w:r>
      <w:proofErr w:type="spellEnd"/>
    </w:p>
    <w:p w:rsidR="00917CBD" w:rsidRPr="0072308D" w:rsidRDefault="00917CBD" w:rsidP="001D75D9">
      <w:pPr>
        <w:jc w:val="center"/>
        <w:rPr>
          <w:b/>
          <w:bCs/>
          <w:sz w:val="36"/>
          <w:szCs w:val="36"/>
          <w:rtl/>
          <w:lang w:bidi="ar-IQ"/>
        </w:rPr>
      </w:pPr>
    </w:p>
    <w:p w:rsidR="00917CBD" w:rsidRPr="001D75D9" w:rsidRDefault="00917CBD" w:rsidP="001D75D9">
      <w:pPr>
        <w:rPr>
          <w:b/>
          <w:bCs/>
          <w:color w:val="FF0000"/>
          <w:sz w:val="36"/>
          <w:szCs w:val="36"/>
          <w:rtl/>
          <w:lang w:bidi="ar-IQ"/>
        </w:rPr>
      </w:pPr>
      <w:r w:rsidRPr="001D75D9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 xml:space="preserve">الحيلة القانونية أداة قضائية لتوحيد السلطة </w:t>
      </w:r>
      <w:proofErr w:type="spellStart"/>
      <w:r w:rsidRPr="001D75D9">
        <w:rPr>
          <w:rFonts w:cs="Arial"/>
          <w:b/>
          <w:bCs/>
          <w:color w:val="FF0000"/>
          <w:sz w:val="36"/>
          <w:szCs w:val="36"/>
          <w:highlight w:val="yellow"/>
          <w:rtl/>
          <w:lang w:bidi="ar-IQ"/>
        </w:rPr>
        <w:t>عندالإنكليز</w:t>
      </w:r>
      <w:proofErr w:type="spellEnd"/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كان يمارس السلطة القضائية في إنكلترا ثلاثة أصناف من المحاكم هي المحاكم الملكية و المحاكم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الاقطاعية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و المحاكم الكنسية وكانت المحاكم الملكية تسعى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الى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الانفراد بممارسة السلطة القضائية  فحاولت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تنتزع الدعاوي المعروضة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امام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المحكمتين السابقتين مستعينة بالحيلة القانونية مثال ذلك :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>1-</w:t>
      </w:r>
      <w:r w:rsidRPr="0072308D">
        <w:rPr>
          <w:rFonts w:cs="Arial"/>
          <w:b/>
          <w:bCs/>
          <w:sz w:val="36"/>
          <w:szCs w:val="36"/>
          <w:rtl/>
          <w:lang w:bidi="ar-IQ"/>
        </w:rPr>
        <w:tab/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انها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كانت تفترض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المتهم الماثل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امام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المحكمة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الاقطاعية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او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المحكمة الكنسية قد اخل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بامن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الملك وهذا يفترض وضع المتهم تحت حراسة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امين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الملك وان يحاكم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امام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المحكمة الملكية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فأذا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حضر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امام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هذه المحكمة يمكن مقاضاته عن أي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امر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اخر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.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>2-</w:t>
      </w:r>
      <w:r w:rsidRPr="0072308D">
        <w:rPr>
          <w:rFonts w:cs="Arial"/>
          <w:b/>
          <w:bCs/>
          <w:sz w:val="36"/>
          <w:szCs w:val="36"/>
          <w:rtl/>
          <w:lang w:bidi="ar-IQ"/>
        </w:rPr>
        <w:tab/>
        <w:t xml:space="preserve">وافترضت المحكمة الملكية أيضا لتحقيق غايتها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المدعي مدين بالضرائب للملك وانه عاجز على الدفع بسبب امتناع المدعي عليه الذي يحاكم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امام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المحكمتين السابقتين وبذلك يصبح المدعي عليه هذا مقصرا بحق الملك ويجب حضوره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امام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المحكمة الملكية للإجابة عن ذلك .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>3-</w:t>
      </w:r>
      <w:r w:rsidRPr="0072308D">
        <w:rPr>
          <w:rFonts w:cs="Arial"/>
          <w:b/>
          <w:bCs/>
          <w:sz w:val="36"/>
          <w:szCs w:val="36"/>
          <w:rtl/>
          <w:lang w:bidi="ar-IQ"/>
        </w:rPr>
        <w:tab/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واخيرآ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كانت المحاكم الملكية تفترض في دعاوي الأراضي التي هي من اختصاص المحاكم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الاقطاعية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السيد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الاقطاعي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قد تنازل عن السلطة القضائية لمحكمته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الاقطاعية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في النظر في هذه الدعوى لصالح المحكمة الملكية .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lastRenderedPageBreak/>
        <w:t>والان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سنأخذ جزء الصورة الرابعة من الحيلة القانونية 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*الحيلة القانونية وسيلة لتبرير بعض النظم القانونية والسياسية 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هذه الصورة أيضا فيها جزئيين تبرير النظم القانونية والأخر تبرير النظم السياسية سنأخذ فقط تبرير النظم القانونية 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>الحيلة القانونية وسيلة لتبرير بعض النظم القانونية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حاول الفقهاء القانونيون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يبرروا النظم القانونية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كالارث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ومصادرة أموال من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ادين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بجريمة مم الجرائم المهمة ومبدأ عدم مسؤولية الملك بافتراض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اكور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بعيدة عن الحقيقة .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>أ-تبرير الإرث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أراد بعض الفقهاء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الالمان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يبرروا انتقال الأموال من المورث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الى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الوراث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فذهبوا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الى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وحدة الشخصية بينهما .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>ب-تبرير مصادرة أموال المجرم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برر الفقهاء الإنكليز مصادرة من ارتكب جريمة من الجرائم المهمة كالخيانة العظمى وعدم انتقال هذه الأموال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الى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ورثته بفساد دمه .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ج- تبرير عدم مسؤولية الملك 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المسؤولية وفق النظريات التقليدية تستوجب الخطأ وتنعدم بفقدانه لذلك برر الإنكليز مبدأ عدم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اخضاع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ملكهم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لاية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مسؤولية بافتراض انه لا يمكن </w:t>
      </w:r>
      <w:proofErr w:type="spellStart"/>
      <w:r w:rsidRPr="0072308D">
        <w:rPr>
          <w:rFonts w:cs="Arial"/>
          <w:b/>
          <w:bCs/>
          <w:sz w:val="36"/>
          <w:szCs w:val="36"/>
          <w:rtl/>
          <w:lang w:bidi="ar-IQ"/>
        </w:rPr>
        <w:t>ان</w:t>
      </w:r>
      <w:proofErr w:type="spellEnd"/>
      <w:r w:rsidRPr="0072308D">
        <w:rPr>
          <w:rFonts w:cs="Arial"/>
          <w:b/>
          <w:bCs/>
          <w:sz w:val="36"/>
          <w:szCs w:val="36"/>
          <w:rtl/>
          <w:lang w:bidi="ar-IQ"/>
        </w:rPr>
        <w:t xml:space="preserve"> يخطئ .</w:t>
      </w: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</w:p>
    <w:p w:rsidR="00917CBD" w:rsidRPr="0072308D" w:rsidRDefault="00917CBD" w:rsidP="00917CBD">
      <w:pPr>
        <w:rPr>
          <w:b/>
          <w:bCs/>
          <w:sz w:val="36"/>
          <w:szCs w:val="36"/>
          <w:rtl/>
          <w:lang w:bidi="ar-IQ"/>
        </w:rPr>
      </w:pPr>
    </w:p>
    <w:p w:rsidR="005435E7" w:rsidRDefault="00515CFC" w:rsidP="00917CBD">
      <w:pPr>
        <w:jc w:val="right"/>
        <w:rPr>
          <w:lang w:bidi="ar-IQ"/>
        </w:rPr>
      </w:pPr>
    </w:p>
    <w:sectPr w:rsidR="005435E7" w:rsidSect="00515CFC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17CBD"/>
    <w:rsid w:val="001D75D9"/>
    <w:rsid w:val="00515CFC"/>
    <w:rsid w:val="005D2FA7"/>
    <w:rsid w:val="007A4338"/>
    <w:rsid w:val="00802680"/>
    <w:rsid w:val="00917CBD"/>
    <w:rsid w:val="00D5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C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2024-03-18T09:59:00Z</dcterms:created>
  <dcterms:modified xsi:type="dcterms:W3CDTF">2024-03-18T19:59:00Z</dcterms:modified>
</cp:coreProperties>
</file>