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2719" w14:textId="530268DB" w:rsidR="00897803" w:rsidRPr="0081069C" w:rsidRDefault="0081069C" w:rsidP="0081069C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</w:rPr>
      </w:pPr>
      <w:r w:rsidRPr="0081069C">
        <w:rPr>
          <w:rFonts w:cs="Times New Roman"/>
          <w:b/>
          <w:bCs/>
          <w:sz w:val="32"/>
          <w:szCs w:val="32"/>
          <w:lang w:bidi="ar-IQ"/>
        </w:rPr>
        <w:t>Soil Mechanics</w:t>
      </w:r>
      <w:r w:rsidR="00A12B55">
        <w:rPr>
          <w:rFonts w:cs="Times New Roman"/>
          <w:b/>
          <w:bCs/>
          <w:sz w:val="32"/>
          <w:szCs w:val="32"/>
          <w:lang w:bidi="ar-IQ"/>
        </w:rPr>
        <w:t xml:space="preserve"> I</w:t>
      </w:r>
    </w:p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"/>
        <w:gridCol w:w="719"/>
        <w:gridCol w:w="118"/>
        <w:gridCol w:w="2977"/>
        <w:gridCol w:w="850"/>
        <w:gridCol w:w="1418"/>
        <w:gridCol w:w="1185"/>
        <w:gridCol w:w="1429"/>
      </w:tblGrid>
      <w:tr w:rsidR="001121E3" w:rsidRPr="00B80B61" w14:paraId="317DEA1E" w14:textId="77777777" w:rsidTr="003C5E49">
        <w:tc>
          <w:tcPr>
            <w:tcW w:w="9702" w:type="dxa"/>
            <w:gridSpan w:val="9"/>
            <w:shd w:val="clear" w:color="auto" w:fill="DEEAF6"/>
          </w:tcPr>
          <w:p w14:paraId="19D5933A" w14:textId="3DB44452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3C5E49">
        <w:tc>
          <w:tcPr>
            <w:tcW w:w="9702" w:type="dxa"/>
            <w:gridSpan w:val="9"/>
          </w:tcPr>
          <w:p w14:paraId="468B56C4" w14:textId="67C36615" w:rsidR="001121E3" w:rsidRPr="00FE4C87" w:rsidRDefault="00FE4C87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32"/>
                <w:szCs w:val="32"/>
                <w:lang w:bidi="ar-IQ"/>
              </w:rPr>
              <w:t>Soil Mechanics</w:t>
            </w:r>
            <w:r w:rsidR="00A12B55">
              <w:rPr>
                <w:rFonts w:cs="Times New Roman"/>
                <w:sz w:val="32"/>
                <w:szCs w:val="32"/>
                <w:lang w:bidi="ar-IQ"/>
              </w:rPr>
              <w:t xml:space="preserve"> I</w:t>
            </w:r>
          </w:p>
        </w:tc>
      </w:tr>
      <w:tr w:rsidR="001121E3" w:rsidRPr="00B80B61" w14:paraId="0CC40E8C" w14:textId="77777777" w:rsidTr="003C5E49">
        <w:tc>
          <w:tcPr>
            <w:tcW w:w="9702" w:type="dxa"/>
            <w:gridSpan w:val="9"/>
            <w:shd w:val="clear" w:color="auto" w:fill="DEEAF6"/>
          </w:tcPr>
          <w:p w14:paraId="2AAB6811" w14:textId="2AC75FD5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3C5E49">
        <w:tc>
          <w:tcPr>
            <w:tcW w:w="9702" w:type="dxa"/>
            <w:gridSpan w:val="9"/>
          </w:tcPr>
          <w:p w14:paraId="586ED771" w14:textId="76ECAC02" w:rsidR="001121E3" w:rsidRPr="00FE4C87" w:rsidRDefault="00361BF1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CIV31201</w:t>
            </w:r>
          </w:p>
        </w:tc>
      </w:tr>
      <w:tr w:rsidR="001121E3" w:rsidRPr="00B80B61" w14:paraId="3DA024FC" w14:textId="77777777" w:rsidTr="003C5E49">
        <w:tc>
          <w:tcPr>
            <w:tcW w:w="9702" w:type="dxa"/>
            <w:gridSpan w:val="9"/>
            <w:shd w:val="clear" w:color="auto" w:fill="DEEAF6"/>
          </w:tcPr>
          <w:p w14:paraId="0E0DAC85" w14:textId="05C3274D" w:rsidR="001121E3" w:rsidRPr="00B80B61" w:rsidRDefault="001121E3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3C5E49">
        <w:tc>
          <w:tcPr>
            <w:tcW w:w="9702" w:type="dxa"/>
            <w:gridSpan w:val="9"/>
          </w:tcPr>
          <w:p w14:paraId="43B7BA01" w14:textId="1F25C4A7" w:rsidR="00FE4C87" w:rsidRPr="00FE4C87" w:rsidRDefault="00FE4C87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First semester / </w:t>
            </w: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Third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3C5E49">
        <w:tc>
          <w:tcPr>
            <w:tcW w:w="9702" w:type="dxa"/>
            <w:gridSpan w:val="9"/>
            <w:shd w:val="clear" w:color="auto" w:fill="DEEAF6"/>
          </w:tcPr>
          <w:p w14:paraId="70837C07" w14:textId="10A8A786" w:rsidR="001121E3" w:rsidRPr="00B80B61" w:rsidRDefault="00F74C41" w:rsidP="00A25F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3C5E49">
        <w:tc>
          <w:tcPr>
            <w:tcW w:w="9702" w:type="dxa"/>
            <w:gridSpan w:val="9"/>
          </w:tcPr>
          <w:p w14:paraId="71CBB507" w14:textId="1C436DC8" w:rsidR="001121E3" w:rsidRPr="00B80B61" w:rsidRDefault="00DE0D50" w:rsidP="00A25F5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6A61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proofErr w:type="gramStart"/>
            <w:r w:rsidR="006A6142" w:rsidRPr="006A6142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="006A61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September</w:t>
            </w:r>
            <w:proofErr w:type="gramEnd"/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2005</w:t>
            </w:r>
          </w:p>
        </w:tc>
      </w:tr>
      <w:tr w:rsidR="001121E3" w:rsidRPr="00B80B61" w14:paraId="4DDF8FA6" w14:textId="77777777" w:rsidTr="003C5E49">
        <w:tc>
          <w:tcPr>
            <w:tcW w:w="9702" w:type="dxa"/>
            <w:gridSpan w:val="9"/>
            <w:shd w:val="clear" w:color="auto" w:fill="DEEAF6"/>
          </w:tcPr>
          <w:p w14:paraId="4DEE6683" w14:textId="312F7C5F" w:rsidR="001121E3" w:rsidRPr="00B80B61" w:rsidRDefault="00EC7169" w:rsidP="00A25F57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DE0D50" w:rsidRPr="00B80B61" w14:paraId="72B3FF2A" w14:textId="77777777" w:rsidTr="003C5E49">
        <w:tc>
          <w:tcPr>
            <w:tcW w:w="9702" w:type="dxa"/>
            <w:gridSpan w:val="9"/>
          </w:tcPr>
          <w:p w14:paraId="1496A7E7" w14:textId="16A89932" w:rsidR="00DE0D50" w:rsidRPr="00756C6D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(</w:t>
            </w:r>
            <w:proofErr w:type="spellStart"/>
            <w:proofErr w:type="gram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Lect</w:t>
            </w:r>
            <w:proofErr w:type="spellEnd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:</w:t>
            </w:r>
            <w:proofErr w:type="gramEnd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90 </w:t>
            </w:r>
            <w:proofErr w:type="spell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hr</w:t>
            </w:r>
            <w:proofErr w:type="spellEnd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and Lab: 30 </w:t>
            </w:r>
            <w:proofErr w:type="spellStart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hr</w:t>
            </w:r>
            <w:proofErr w:type="spellEnd"/>
            <w:r w:rsidR="008536AD"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)</w:t>
            </w:r>
          </w:p>
        </w:tc>
      </w:tr>
      <w:tr w:rsidR="00DE0D50" w:rsidRPr="00B80B61" w14:paraId="7F049733" w14:textId="77777777" w:rsidTr="003C5E49">
        <w:tc>
          <w:tcPr>
            <w:tcW w:w="9702" w:type="dxa"/>
            <w:gridSpan w:val="9"/>
            <w:shd w:val="clear" w:color="auto" w:fill="DEEAF6"/>
          </w:tcPr>
          <w:p w14:paraId="7E50DB93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DE0D50" w:rsidRPr="00B80B61" w14:paraId="555A1016" w14:textId="77777777" w:rsidTr="003C5E49">
        <w:tc>
          <w:tcPr>
            <w:tcW w:w="9702" w:type="dxa"/>
            <w:gridSpan w:val="9"/>
          </w:tcPr>
          <w:p w14:paraId="6B2C5E1E" w14:textId="6FC1112A" w:rsidR="00DE0D50" w:rsidRPr="00756C6D" w:rsidRDefault="00A460BA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Lecture :9</w:t>
            </w:r>
            <w:r w:rsidR="00DE0D50"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0 hours</w:t>
            </w:r>
          </w:p>
          <w:p w14:paraId="107CCA9B" w14:textId="32B97B7F" w:rsidR="00DE0D50" w:rsidRPr="00756C6D" w:rsidRDefault="008536AD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Lab</w:t>
            </w:r>
            <w:r w:rsidR="00DE0D50"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: 30 hours</w:t>
            </w:r>
          </w:p>
          <w:p w14:paraId="53FA86D8" w14:textId="2C0E1DCA" w:rsidR="00DE0D50" w:rsidRPr="00756C6D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Total: </w:t>
            </w:r>
            <w:r w:rsidR="00A460BA"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90</w:t>
            </w: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 hours</w:t>
            </w:r>
          </w:p>
          <w:p w14:paraId="4A7A6AA5" w14:textId="4E692CFE" w:rsidR="00DE0D50" w:rsidRPr="00756C6D" w:rsidRDefault="00A460BA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ECTS: </w:t>
            </w:r>
            <w:r w:rsidR="008536AD" w:rsidRPr="00756C6D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4</w:t>
            </w:r>
          </w:p>
        </w:tc>
      </w:tr>
      <w:tr w:rsidR="00DE0D50" w:rsidRPr="00B80B61" w14:paraId="46F4DF37" w14:textId="77777777" w:rsidTr="003C5E49">
        <w:tc>
          <w:tcPr>
            <w:tcW w:w="9702" w:type="dxa"/>
            <w:gridSpan w:val="9"/>
            <w:shd w:val="clear" w:color="auto" w:fill="DEEAF6"/>
          </w:tcPr>
          <w:p w14:paraId="7B27F527" w14:textId="38CE6323" w:rsidR="00DE0D50" w:rsidRPr="00B02F18" w:rsidRDefault="00DE0D50" w:rsidP="00A25F57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DE0D50" w:rsidRPr="00B80B61" w14:paraId="0F9B8C2A" w14:textId="77777777" w:rsidTr="003C5E49">
        <w:tc>
          <w:tcPr>
            <w:tcW w:w="9702" w:type="dxa"/>
            <w:gridSpan w:val="9"/>
          </w:tcPr>
          <w:p w14:paraId="780E193E" w14:textId="6C82D3B9" w:rsidR="00DE0D50" w:rsidRPr="00756C6D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 w:rsidRPr="00756C6D"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Name: </w:t>
            </w: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Dr. Lubna Abdulrahman Khdier </w:t>
            </w:r>
          </w:p>
          <w:p w14:paraId="72E67ECE" w14:textId="04ED0A3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Email:</w:t>
            </w:r>
            <w:r w:rsidRPr="00756C6D"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 </w:t>
            </w:r>
            <w:r w:rsidRPr="00756C6D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>lubna.abddulrahman@muc.edu.iq</w:t>
            </w:r>
          </w:p>
        </w:tc>
      </w:tr>
      <w:tr w:rsidR="00DE0D50" w:rsidRPr="00B80B61" w14:paraId="51090FE5" w14:textId="77777777" w:rsidTr="003C5E49">
        <w:tc>
          <w:tcPr>
            <w:tcW w:w="9702" w:type="dxa"/>
            <w:gridSpan w:val="9"/>
            <w:shd w:val="clear" w:color="auto" w:fill="DEEAF6"/>
          </w:tcPr>
          <w:p w14:paraId="5D5CED50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DE0D50" w:rsidRPr="00B80B61" w14:paraId="6B662ADB" w14:textId="77777777" w:rsidTr="003C5E49">
        <w:tc>
          <w:tcPr>
            <w:tcW w:w="1843" w:type="dxa"/>
            <w:gridSpan w:val="4"/>
          </w:tcPr>
          <w:p w14:paraId="63B3AB5E" w14:textId="7777777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859" w:type="dxa"/>
            <w:gridSpan w:val="5"/>
          </w:tcPr>
          <w:p w14:paraId="36A0A6E5" w14:textId="271BC2D6" w:rsidR="00DF2689" w:rsidRPr="00DF2689" w:rsidRDefault="00DF2689" w:rsidP="003C5E49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The student acquires knowledge and special skills to be knowledge on soil</w:t>
            </w:r>
            <w:r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</w:t>
            </w:r>
            <w:r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from engineering side of view.</w:t>
            </w:r>
          </w:p>
          <w:p w14:paraId="7C9A723D" w14:textId="0EBA3A79" w:rsidR="00DF2689" w:rsidRPr="00DF2689" w:rsidRDefault="00DF2689" w:rsidP="003C5E49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To be able to analyze the problems dealing with soil mechanics and its</w:t>
            </w:r>
            <w:r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</w:t>
            </w:r>
            <w:r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engineering properties.</w:t>
            </w:r>
          </w:p>
          <w:p w14:paraId="07CD55ED" w14:textId="4DBE5CCC" w:rsidR="00DE0D50" w:rsidRPr="003C5E49" w:rsidRDefault="00DF2689" w:rsidP="003C5E49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2"/>
                <w:szCs w:val="22"/>
                <w:rtl/>
                <w:lang w:bidi="ar-IQ"/>
              </w:rPr>
            </w:pPr>
            <w:r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To </w:t>
            </w:r>
            <w:r w:rsidR="001A43FE"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find</w:t>
            </w:r>
            <w:r w:rsidRPr="00DF268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the results using the relevant theories, hypotheses and laws</w:t>
            </w:r>
            <w:r w:rsidR="003C5E4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 xml:space="preserve"> </w:t>
            </w:r>
            <w:r w:rsidRPr="003C5E49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together with the related laboratory and field tests.</w:t>
            </w:r>
          </w:p>
        </w:tc>
      </w:tr>
      <w:tr w:rsidR="00DE0D50" w:rsidRPr="00B80B61" w14:paraId="58EC4CC3" w14:textId="77777777" w:rsidTr="003C5E49">
        <w:tc>
          <w:tcPr>
            <w:tcW w:w="9702" w:type="dxa"/>
            <w:gridSpan w:val="9"/>
            <w:shd w:val="clear" w:color="auto" w:fill="DEEAF6"/>
          </w:tcPr>
          <w:p w14:paraId="4986F185" w14:textId="77777777" w:rsidR="00DE0D50" w:rsidRPr="00B80B61" w:rsidRDefault="00DE0D50" w:rsidP="00A25F57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DE0D50" w:rsidRPr="00B80B61" w14:paraId="2818180F" w14:textId="77777777" w:rsidTr="003C5E49">
        <w:tc>
          <w:tcPr>
            <w:tcW w:w="1006" w:type="dxa"/>
            <w:gridSpan w:val="2"/>
          </w:tcPr>
          <w:p w14:paraId="7C49BFAF" w14:textId="77777777" w:rsidR="00DE0D50" w:rsidRPr="00B80B61" w:rsidRDefault="00DE0D50" w:rsidP="00A25F5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6" w:type="dxa"/>
            <w:gridSpan w:val="7"/>
          </w:tcPr>
          <w:p w14:paraId="09694F69" w14:textId="350501CC" w:rsidR="00DE0D50" w:rsidRPr="005A2DF1" w:rsidRDefault="003C5E49" w:rsidP="003C5E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The main strategy that will be adopted in delivering soil </w:t>
            </w:r>
            <w:proofErr w:type="gramStart"/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mechanics I</w:t>
            </w:r>
            <w:proofErr w:type="gramEnd"/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is to encourage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students</w:t>
            </w:r>
            <w:r w:rsidRPr="003C5E49">
              <w:rPr>
                <w:rFonts w:ascii="Cambria" w:eastAsia="Calibri" w:hAnsi="Cambria" w:cs="Times New Roman" w:hint="cs"/>
                <w:color w:val="000000"/>
                <w:sz w:val="22"/>
                <w:szCs w:val="22"/>
                <w:lang w:bidi="ar-IQ"/>
              </w:rPr>
              <w:t>’</w:t>
            </w:r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participation in the exercises, while at the same time refining and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expanding their critical thinking skills. This will be achieved through classes,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interactive tutorials and by considering types of simple experiments involving some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3C5E49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sampling activities that are interesting to the students.</w:t>
            </w:r>
          </w:p>
        </w:tc>
      </w:tr>
      <w:tr w:rsidR="00DE0D50" w:rsidRPr="00B80B61" w14:paraId="552FCC21" w14:textId="77777777" w:rsidTr="003C5E49">
        <w:tc>
          <w:tcPr>
            <w:tcW w:w="9702" w:type="dxa"/>
            <w:gridSpan w:val="9"/>
            <w:shd w:val="clear" w:color="auto" w:fill="DEEAF6"/>
            <w:vAlign w:val="center"/>
          </w:tcPr>
          <w:p w14:paraId="3F5FB1AB" w14:textId="3073024A" w:rsidR="00DE0D50" w:rsidRPr="00C21051" w:rsidRDefault="00DE0D50" w:rsidP="00C21051">
            <w:pPr>
              <w:autoSpaceDE w:val="0"/>
              <w:autoSpaceDN w:val="0"/>
              <w:adjustRightInd w:val="0"/>
              <w:jc w:val="center"/>
              <w:rPr>
                <w:rFonts w:ascii="CIDFont+F1" w:cs="CIDFont+F1"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DE0D50" w:rsidRPr="00B80B61" w14:paraId="34C7557C" w14:textId="77777777" w:rsidTr="00756C6D">
        <w:trPr>
          <w:trHeight w:val="182"/>
        </w:trPr>
        <w:tc>
          <w:tcPr>
            <w:tcW w:w="567" w:type="dxa"/>
            <w:shd w:val="clear" w:color="auto" w:fill="BDD6EE"/>
            <w:vAlign w:val="center"/>
          </w:tcPr>
          <w:p w14:paraId="25B6F41E" w14:textId="0AF7A077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158" w:type="dxa"/>
            <w:gridSpan w:val="2"/>
            <w:shd w:val="clear" w:color="auto" w:fill="BDD6EE"/>
            <w:vAlign w:val="center"/>
          </w:tcPr>
          <w:p w14:paraId="76BFEC7A" w14:textId="58D39B85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3945" w:type="dxa"/>
            <w:gridSpan w:val="3"/>
            <w:shd w:val="clear" w:color="auto" w:fill="BDD6EE"/>
            <w:vAlign w:val="center"/>
          </w:tcPr>
          <w:p w14:paraId="3BDFEC65" w14:textId="49021030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87CC412" w14:textId="6F33D73A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057AB72A" w14:textId="32D4CB73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429" w:type="dxa"/>
            <w:shd w:val="clear" w:color="auto" w:fill="BDD6EE"/>
            <w:vAlign w:val="center"/>
          </w:tcPr>
          <w:p w14:paraId="4FD18AD1" w14:textId="288DCC87" w:rsidR="00DE0D50" w:rsidRPr="00897803" w:rsidRDefault="00DE0D50" w:rsidP="00A25F57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AD346D" w:rsidRPr="00B80B61" w14:paraId="340DF716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3E63AA6B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3051A0E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108D96A0" w14:textId="65C5673F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22D8441B" w14:textId="1B3D862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Introduction to Soil Mechanics:</w:t>
            </w:r>
            <w:r w:rsidRPr="00E22A20">
              <w:rPr>
                <w:rFonts w:asciiTheme="majorBidi" w:hAnsiTheme="majorBidi" w:cstheme="majorBidi"/>
              </w:rPr>
              <w:t xml:space="preserve"> Students will understand the definition of soil and the scope of soil mechanics.</w:t>
            </w:r>
          </w:p>
        </w:tc>
        <w:tc>
          <w:tcPr>
            <w:tcW w:w="1418" w:type="dxa"/>
          </w:tcPr>
          <w:p w14:paraId="5DB97A53" w14:textId="0EE7E8F9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 xml:space="preserve">Soil Formation </w:t>
            </w:r>
          </w:p>
        </w:tc>
        <w:tc>
          <w:tcPr>
            <w:tcW w:w="1185" w:type="dxa"/>
          </w:tcPr>
          <w:p w14:paraId="2F96BD09" w14:textId="0FB63491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4DED7EA" w14:textId="4D8A83E4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AD346D" w:rsidRPr="00B80B61" w14:paraId="2B23E104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30096046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5581492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72BF2D13" w14:textId="1F19EAA6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2B313554" w14:textId="7567FE2B" w:rsidR="00AD346D" w:rsidRPr="00E22A20" w:rsidRDefault="00AD346D" w:rsidP="00AD346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Water Content Determination:</w:t>
            </w:r>
            <w:r w:rsidRPr="00E22A20">
              <w:rPr>
                <w:rFonts w:asciiTheme="majorBidi" w:hAnsiTheme="majorBidi" w:cstheme="majorBidi"/>
              </w:rPr>
              <w:t xml:space="preserve"> Students will determine soil water content using standard laboratory methods.</w:t>
            </w:r>
          </w:p>
        </w:tc>
        <w:tc>
          <w:tcPr>
            <w:tcW w:w="1418" w:type="dxa"/>
          </w:tcPr>
          <w:p w14:paraId="19D7A212" w14:textId="754F2BF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 xml:space="preserve">Soil Formation </w:t>
            </w:r>
          </w:p>
        </w:tc>
        <w:tc>
          <w:tcPr>
            <w:tcW w:w="1185" w:type="dxa"/>
          </w:tcPr>
          <w:p w14:paraId="00715C1E" w14:textId="5C0B51C7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7E79AA1" w14:textId="7D7D83C2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AD346D" w:rsidRPr="00B80B61" w14:paraId="5D548D5B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16CCE0FC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41F1612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4CDFDCCB" w14:textId="679EAF04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432628E5" w14:textId="4BE12361" w:rsidR="00AD346D" w:rsidRPr="00E22A20" w:rsidRDefault="00AD346D" w:rsidP="00AD346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Basic Soil Characteristics:</w:t>
            </w:r>
            <w:r w:rsidRPr="00E22A20">
              <w:rPr>
                <w:rFonts w:asciiTheme="majorBidi" w:hAnsiTheme="majorBidi" w:cstheme="majorBidi"/>
              </w:rPr>
              <w:t xml:space="preserve"> Students will identify basic soil characteristics and their engineering relevance.</w:t>
            </w:r>
          </w:p>
        </w:tc>
        <w:tc>
          <w:tcPr>
            <w:tcW w:w="1418" w:type="dxa"/>
          </w:tcPr>
          <w:p w14:paraId="29FBA82B" w14:textId="3F4FF75C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Soil Classifications</w:t>
            </w:r>
          </w:p>
        </w:tc>
        <w:tc>
          <w:tcPr>
            <w:tcW w:w="1185" w:type="dxa"/>
          </w:tcPr>
          <w:p w14:paraId="366F3E55" w14:textId="394D147D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4B70C02" w14:textId="20FC2DDC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AD346D" w:rsidRPr="00B80B61" w14:paraId="3EC1511E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0FBFB3BA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4524C8D1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485EADFA" w14:textId="2F38CE12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73452DA1" w14:textId="6F3E812E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Sieve Analysis:</w:t>
            </w:r>
            <w:r w:rsidRPr="00E22A20">
              <w:rPr>
                <w:rFonts w:asciiTheme="majorBidi" w:hAnsiTheme="majorBidi" w:cstheme="majorBidi"/>
              </w:rPr>
              <w:t xml:space="preserve"> Students will perform sieve analysis to classify coarse-grained soils.</w:t>
            </w:r>
          </w:p>
        </w:tc>
        <w:tc>
          <w:tcPr>
            <w:tcW w:w="1418" w:type="dxa"/>
          </w:tcPr>
          <w:p w14:paraId="3FF46336" w14:textId="70B2E744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Soil Classifications</w:t>
            </w:r>
          </w:p>
        </w:tc>
        <w:tc>
          <w:tcPr>
            <w:tcW w:w="1185" w:type="dxa"/>
          </w:tcPr>
          <w:p w14:paraId="1D8EF3D9" w14:textId="5D17C70A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02D8E85" w14:textId="1E34D36C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AD346D" w:rsidRPr="00B80B61" w14:paraId="29CC5679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1951CCB5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7033A581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7227094D" w14:textId="08612866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5E9CCF19" w14:textId="214A2311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Hydrometer Analysis:</w:t>
            </w:r>
            <w:r w:rsidRPr="00E22A20">
              <w:rPr>
                <w:rFonts w:asciiTheme="majorBidi" w:hAnsiTheme="majorBidi" w:cstheme="majorBidi"/>
              </w:rPr>
              <w:t xml:space="preserve"> Students will conduct hydrometer analysis to classify fine-grained soils.</w:t>
            </w:r>
          </w:p>
        </w:tc>
        <w:tc>
          <w:tcPr>
            <w:tcW w:w="1418" w:type="dxa"/>
          </w:tcPr>
          <w:p w14:paraId="40C1E34D" w14:textId="4E6867C8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Soil Compaction</w:t>
            </w:r>
          </w:p>
        </w:tc>
        <w:tc>
          <w:tcPr>
            <w:tcW w:w="1185" w:type="dxa"/>
          </w:tcPr>
          <w:p w14:paraId="6939C60E" w14:textId="743BBD58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86FF30E" w14:textId="351238D4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AD346D" w:rsidRPr="00B80B61" w14:paraId="6F656C8C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1F1E3980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32A5B6D5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6590994C" w14:textId="1A63D044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7755E27B" w14:textId="2F4CD3E2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Phase Relationships:</w:t>
            </w:r>
            <w:r w:rsidRPr="00E22A20">
              <w:rPr>
                <w:rFonts w:asciiTheme="majorBidi" w:hAnsiTheme="majorBidi" w:cstheme="majorBidi"/>
              </w:rPr>
              <w:t xml:space="preserve"> Students will calculate soil phase relationships and interpret their significance.</w:t>
            </w:r>
          </w:p>
        </w:tc>
        <w:tc>
          <w:tcPr>
            <w:tcW w:w="1418" w:type="dxa"/>
          </w:tcPr>
          <w:p w14:paraId="34DE7BC6" w14:textId="4AECE56A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Soil Compaction</w:t>
            </w:r>
          </w:p>
        </w:tc>
        <w:tc>
          <w:tcPr>
            <w:tcW w:w="1185" w:type="dxa"/>
          </w:tcPr>
          <w:p w14:paraId="563F34C5" w14:textId="32DBDCB2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51D83B3D" w14:textId="032F5224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AD346D" w:rsidRPr="00B80B61" w14:paraId="0E1FB147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21022B73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36F4F34D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6B49A687" w14:textId="6E26989A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03867B63" w14:textId="321E78B7" w:rsidR="00AD346D" w:rsidRPr="00E22A20" w:rsidRDefault="00AD346D" w:rsidP="00AD346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Atterberg Limits:</w:t>
            </w:r>
            <w:r w:rsidRPr="00E22A20">
              <w:rPr>
                <w:rFonts w:asciiTheme="majorBidi" w:hAnsiTheme="majorBidi" w:cstheme="majorBidi"/>
              </w:rPr>
              <w:t xml:space="preserve"> Students will determine Atterberg limits to assess soil consistency and plasticity.</w:t>
            </w:r>
          </w:p>
        </w:tc>
        <w:tc>
          <w:tcPr>
            <w:tcW w:w="1418" w:type="dxa"/>
          </w:tcPr>
          <w:p w14:paraId="59383FA2" w14:textId="6ECF7A38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Permeability</w:t>
            </w:r>
          </w:p>
        </w:tc>
        <w:tc>
          <w:tcPr>
            <w:tcW w:w="1185" w:type="dxa"/>
          </w:tcPr>
          <w:p w14:paraId="5DEE0C4E" w14:textId="37AE58BB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105B001A" w14:textId="55E55299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AD346D" w:rsidRPr="00B80B61" w14:paraId="6032D374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70E09D5F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52DD15B3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740248A2" w14:textId="069644E1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16A96A43" w14:textId="23130028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Laboratory Compaction Test:</w:t>
            </w:r>
            <w:r w:rsidRPr="00E22A20">
              <w:rPr>
                <w:rFonts w:asciiTheme="majorBidi" w:hAnsiTheme="majorBidi" w:cstheme="majorBidi"/>
              </w:rPr>
              <w:t xml:space="preserve"> Students will perform laboratory compaction tests to obtain OMC and MDD.</w:t>
            </w:r>
            <w:r w:rsidR="001A43FE" w:rsidRPr="00E22A20">
              <w:rPr>
                <w:rFonts w:asciiTheme="majorBidi" w:hAnsiTheme="majorBidi" w:cstheme="majorBidi"/>
              </w:rPr>
              <w:t xml:space="preserve"> Students will measure in-situ soil density and evaluate field compaction quality.</w:t>
            </w:r>
          </w:p>
        </w:tc>
        <w:tc>
          <w:tcPr>
            <w:tcW w:w="1418" w:type="dxa"/>
          </w:tcPr>
          <w:p w14:paraId="7C5E461B" w14:textId="5205B2A0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Permeability</w:t>
            </w:r>
          </w:p>
        </w:tc>
        <w:tc>
          <w:tcPr>
            <w:tcW w:w="1185" w:type="dxa"/>
          </w:tcPr>
          <w:p w14:paraId="47B47BBC" w14:textId="368EBD0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1FBB3EF" w14:textId="3FA1CFDC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AD346D" w:rsidRPr="00B80B61" w14:paraId="27FFAB2F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18E6FE42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6EC0F5F1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70B4D9C7" w14:textId="7BA8087F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6513A326" w14:textId="7E39CED7" w:rsidR="00AD346D" w:rsidRPr="00E22A20" w:rsidRDefault="001A43FE" w:rsidP="000739D2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b/>
                <w:bCs/>
                <w:color w:val="000000"/>
                <w:lang w:bidi="ar-IQ"/>
              </w:rPr>
              <w:t>Mid-exam</w:t>
            </w:r>
          </w:p>
        </w:tc>
        <w:tc>
          <w:tcPr>
            <w:tcW w:w="1418" w:type="dxa"/>
          </w:tcPr>
          <w:p w14:paraId="3D66CC63" w14:textId="13215ADA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1185" w:type="dxa"/>
          </w:tcPr>
          <w:p w14:paraId="2BBBB4CD" w14:textId="64224E43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1429" w:type="dxa"/>
          </w:tcPr>
          <w:p w14:paraId="5B13F736" w14:textId="0FCFBF35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Exam</w:t>
            </w:r>
          </w:p>
        </w:tc>
      </w:tr>
      <w:tr w:rsidR="00AD346D" w:rsidRPr="00B80B61" w14:paraId="0399D22F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1656F861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1AEB9813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21834D99" w14:textId="5B35C9EC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4544AE70" w14:textId="12BA1941" w:rsidR="00AD346D" w:rsidRPr="00E22A20" w:rsidRDefault="00AD346D" w:rsidP="00AD346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Laboratory Permeability Test:</w:t>
            </w:r>
            <w:r w:rsidRPr="00E22A20">
              <w:rPr>
                <w:rFonts w:asciiTheme="majorBidi" w:hAnsiTheme="majorBidi" w:cstheme="majorBidi"/>
              </w:rPr>
              <w:t xml:space="preserve"> Students will determine soil permeability using laboratory testing procedures.</w:t>
            </w:r>
          </w:p>
        </w:tc>
        <w:tc>
          <w:tcPr>
            <w:tcW w:w="1418" w:type="dxa"/>
          </w:tcPr>
          <w:p w14:paraId="76E4DFF1" w14:textId="03567125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Permeability</w:t>
            </w:r>
          </w:p>
        </w:tc>
        <w:tc>
          <w:tcPr>
            <w:tcW w:w="1185" w:type="dxa"/>
          </w:tcPr>
          <w:p w14:paraId="457017E9" w14:textId="33D17A5E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8522D1E" w14:textId="2DA7B950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AD346D" w:rsidRPr="00B80B61" w14:paraId="2FB4E0D1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3F211956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476993CD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73D5BDEC" w14:textId="3857ED66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69E40416" w14:textId="08DD45E3" w:rsidR="00AD346D" w:rsidRPr="00E22A20" w:rsidRDefault="00AD346D" w:rsidP="00AD346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Field Permeability Measurement:</w:t>
            </w:r>
            <w:r w:rsidRPr="00E22A20">
              <w:rPr>
                <w:rFonts w:asciiTheme="majorBidi" w:hAnsiTheme="majorBidi" w:cstheme="majorBidi"/>
              </w:rPr>
              <w:t xml:space="preserve"> Students will evaluate soil permeability using field measurement methods.</w:t>
            </w:r>
          </w:p>
        </w:tc>
        <w:tc>
          <w:tcPr>
            <w:tcW w:w="1418" w:type="dxa"/>
          </w:tcPr>
          <w:p w14:paraId="6B7DBBD9" w14:textId="789902E4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Seepage</w:t>
            </w:r>
          </w:p>
        </w:tc>
        <w:tc>
          <w:tcPr>
            <w:tcW w:w="1185" w:type="dxa"/>
          </w:tcPr>
          <w:p w14:paraId="519C5756" w14:textId="06504A15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75CF6078" w14:textId="6124B468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AD346D" w:rsidRPr="00B80B61" w14:paraId="69165FED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3868F9C2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4562D906" w14:textId="77777777" w:rsidR="00F65AD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2E426956" w14:textId="7C2C9B3C" w:rsidR="00AD346D" w:rsidRPr="00E22A20" w:rsidRDefault="00F65ADD" w:rsidP="00F65AD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44CFC443" w14:textId="3743DC27" w:rsidR="00AD346D" w:rsidRPr="00E22A20" w:rsidRDefault="00AD346D" w:rsidP="00AD346D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Specific Gravity Determination:</w:t>
            </w:r>
            <w:r w:rsidRPr="00E22A20">
              <w:rPr>
                <w:rFonts w:asciiTheme="majorBidi" w:hAnsiTheme="majorBidi" w:cstheme="majorBidi"/>
              </w:rPr>
              <w:t xml:space="preserve"> Students will compute specific gravity and apply it within soil phase relations.</w:t>
            </w:r>
          </w:p>
        </w:tc>
        <w:tc>
          <w:tcPr>
            <w:tcW w:w="1418" w:type="dxa"/>
          </w:tcPr>
          <w:p w14:paraId="71A904C5" w14:textId="554F5F3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hAnsiTheme="majorBidi" w:cstheme="majorBidi"/>
                <w:color w:val="000000"/>
                <w:lang w:bidi="ar-IQ"/>
              </w:rPr>
              <w:t>Seepage</w:t>
            </w:r>
          </w:p>
        </w:tc>
        <w:tc>
          <w:tcPr>
            <w:tcW w:w="1185" w:type="dxa"/>
          </w:tcPr>
          <w:p w14:paraId="7C28EFE0" w14:textId="5136CA9D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9875D62" w14:textId="73EAEE4A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Exam</w:t>
            </w:r>
          </w:p>
        </w:tc>
      </w:tr>
      <w:tr w:rsidR="00AD346D" w:rsidRPr="00B80B61" w14:paraId="44506398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49218A44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E36B3BE" w14:textId="77777777" w:rsidR="00725360" w:rsidRPr="00E22A20" w:rsidRDefault="00725360" w:rsidP="00725360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26C23277" w14:textId="639A3DFD" w:rsidR="00AD346D" w:rsidRPr="00E22A20" w:rsidRDefault="00725360" w:rsidP="00725360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0316B7F5" w14:textId="572B9917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Seepage Theory and Flow Nets:</w:t>
            </w:r>
            <w:r w:rsidRPr="00E22A20">
              <w:rPr>
                <w:rFonts w:asciiTheme="majorBidi" w:hAnsiTheme="majorBidi" w:cstheme="majorBidi"/>
              </w:rPr>
              <w:t xml:space="preserve"> Students will analyze seepage through soils and construct flow nets.</w:t>
            </w:r>
          </w:p>
        </w:tc>
        <w:tc>
          <w:tcPr>
            <w:tcW w:w="1418" w:type="dxa"/>
          </w:tcPr>
          <w:p w14:paraId="199BD260" w14:textId="29690F9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</w:rPr>
              <w:t>Effective stress</w:t>
            </w:r>
          </w:p>
        </w:tc>
        <w:tc>
          <w:tcPr>
            <w:tcW w:w="1185" w:type="dxa"/>
          </w:tcPr>
          <w:p w14:paraId="09E27257" w14:textId="3E07D1B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4F492655" w14:textId="1B0C4434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AD346D" w:rsidRPr="00B80B61" w14:paraId="31B216A7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5B099A74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3E1C865D" w14:textId="4FE5539E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</w:t>
            </w:r>
            <w:r w:rsidR="00725360"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3</w:t>
            </w:r>
          </w:p>
          <w:p w14:paraId="1A7744FC" w14:textId="675B809D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6C9E4026" w14:textId="247AC133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Style w:val="Strong"/>
                <w:rFonts w:asciiTheme="majorBidi" w:hAnsiTheme="majorBidi" w:cstheme="majorBidi"/>
              </w:rPr>
              <w:t>Effective Stress Analysis:</w:t>
            </w:r>
            <w:r w:rsidRPr="00E22A20">
              <w:rPr>
                <w:rFonts w:asciiTheme="majorBidi" w:hAnsiTheme="majorBidi" w:cstheme="majorBidi"/>
              </w:rPr>
              <w:t xml:space="preserve"> Students will calculate effective stress and assess how seepage influences it.</w:t>
            </w:r>
          </w:p>
        </w:tc>
        <w:tc>
          <w:tcPr>
            <w:tcW w:w="1418" w:type="dxa"/>
          </w:tcPr>
          <w:p w14:paraId="0E0FF263" w14:textId="3E87C96E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</w:rPr>
              <w:t>Effective stress</w:t>
            </w:r>
          </w:p>
        </w:tc>
        <w:tc>
          <w:tcPr>
            <w:tcW w:w="1185" w:type="dxa"/>
          </w:tcPr>
          <w:p w14:paraId="14D267C1" w14:textId="4D050371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429" w:type="dxa"/>
          </w:tcPr>
          <w:p w14:paraId="66E31BE5" w14:textId="70AE2389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AD346D" w:rsidRPr="00B80B61" w14:paraId="0F2B79F6" w14:textId="77777777" w:rsidTr="00756C6D">
        <w:trPr>
          <w:trHeight w:val="171"/>
        </w:trPr>
        <w:tc>
          <w:tcPr>
            <w:tcW w:w="567" w:type="dxa"/>
            <w:vAlign w:val="center"/>
          </w:tcPr>
          <w:p w14:paraId="181BE52E" w14:textId="77777777" w:rsidR="00AD346D" w:rsidRPr="00E22A20" w:rsidRDefault="00AD346D" w:rsidP="00AD346D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18" w:right="-42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IQ"/>
              </w:rPr>
            </w:pPr>
          </w:p>
        </w:tc>
        <w:tc>
          <w:tcPr>
            <w:tcW w:w="1158" w:type="dxa"/>
            <w:gridSpan w:val="2"/>
          </w:tcPr>
          <w:p w14:paraId="0F9F0139" w14:textId="77777777" w:rsidR="00725360" w:rsidRPr="00E22A20" w:rsidRDefault="00725360" w:rsidP="00725360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Th.:3</w:t>
            </w:r>
          </w:p>
          <w:p w14:paraId="0133C764" w14:textId="61FE903E" w:rsidR="00AD346D" w:rsidRPr="00E22A20" w:rsidRDefault="00725360" w:rsidP="00725360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Pr.: 2</w:t>
            </w:r>
          </w:p>
        </w:tc>
        <w:tc>
          <w:tcPr>
            <w:tcW w:w="3945" w:type="dxa"/>
            <w:gridSpan w:val="3"/>
          </w:tcPr>
          <w:p w14:paraId="3A750B37" w14:textId="179E0944" w:rsidR="00AD346D" w:rsidRPr="00E22A20" w:rsidRDefault="00163472" w:rsidP="00163472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Theme="majorBidi" w:hAnsiTheme="majorBidi" w:cstheme="majorBidi"/>
                <w:rtl/>
              </w:rPr>
            </w:pPr>
            <w:r w:rsidRPr="00E22A20">
              <w:rPr>
                <w:rFonts w:asciiTheme="majorBidi" w:hAnsiTheme="majorBidi" w:cstheme="majorBidi"/>
              </w:rPr>
              <w:t>Preparation for the final examination</w:t>
            </w:r>
          </w:p>
        </w:tc>
        <w:tc>
          <w:tcPr>
            <w:tcW w:w="1418" w:type="dxa"/>
          </w:tcPr>
          <w:p w14:paraId="373C0630" w14:textId="45459A76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1185" w:type="dxa"/>
          </w:tcPr>
          <w:p w14:paraId="14C63023" w14:textId="3D7CA723" w:rsidR="00AD346D" w:rsidRPr="00E22A20" w:rsidRDefault="003E11C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E22A20">
              <w:rPr>
                <w:rFonts w:asciiTheme="majorBidi" w:eastAsia="Calibri" w:hAnsiTheme="majorBidi" w:cstheme="majorBidi"/>
                <w:color w:val="000000"/>
                <w:lang w:bidi="ar-IQ"/>
              </w:rPr>
              <w:t>-</w:t>
            </w:r>
          </w:p>
        </w:tc>
        <w:tc>
          <w:tcPr>
            <w:tcW w:w="1429" w:type="dxa"/>
          </w:tcPr>
          <w:p w14:paraId="12317A3F" w14:textId="4760D580" w:rsidR="00AD346D" w:rsidRPr="00E22A20" w:rsidRDefault="00AD346D" w:rsidP="00AD346D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</w:tr>
      <w:tr w:rsidR="0023726F" w:rsidRPr="00B80B61" w14:paraId="7735037C" w14:textId="77777777" w:rsidTr="003C5E49">
        <w:tc>
          <w:tcPr>
            <w:tcW w:w="9702" w:type="dxa"/>
            <w:gridSpan w:val="9"/>
            <w:shd w:val="clear" w:color="auto" w:fill="DEEAF6"/>
          </w:tcPr>
          <w:p w14:paraId="59644842" w14:textId="77777777" w:rsidR="0023726F" w:rsidRPr="00B80B61" w:rsidRDefault="0023726F" w:rsidP="0023726F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23726F" w:rsidRPr="00B80B61" w14:paraId="1CE317D4" w14:textId="77777777" w:rsidTr="003C5E49">
        <w:tc>
          <w:tcPr>
            <w:tcW w:w="9702" w:type="dxa"/>
            <w:gridSpan w:val="9"/>
          </w:tcPr>
          <w:p w14:paraId="6B04A419" w14:textId="77777777" w:rsidR="0023726F" w:rsidRPr="00A25F57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2C183A2F" w14:textId="77777777" w:rsidR="0023726F" w:rsidRPr="00A25F57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Assessment: Formative 40 marks, monthly exam 10 marks</w:t>
            </w:r>
          </w:p>
          <w:p w14:paraId="47D3A162" w14:textId="387CF484" w:rsidR="0023726F" w:rsidRPr="00706B3C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</w:rPr>
            </w:pPr>
            <w:r w:rsidRPr="00A25F57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  <w:t>Final exam: Theory 50 marks</w:t>
            </w:r>
          </w:p>
        </w:tc>
      </w:tr>
      <w:tr w:rsidR="0023726F" w:rsidRPr="00B80B61" w14:paraId="12F4FF3C" w14:textId="77777777" w:rsidTr="003C5E49">
        <w:tc>
          <w:tcPr>
            <w:tcW w:w="9702" w:type="dxa"/>
            <w:gridSpan w:val="9"/>
            <w:shd w:val="clear" w:color="auto" w:fill="DEEAF6"/>
          </w:tcPr>
          <w:p w14:paraId="4F15D0B8" w14:textId="77777777" w:rsidR="0023726F" w:rsidRPr="00B80B61" w:rsidRDefault="0023726F" w:rsidP="0023726F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23726F" w:rsidRPr="00B80B61" w14:paraId="02BE89EB" w14:textId="77777777" w:rsidTr="00DF1318">
        <w:tc>
          <w:tcPr>
            <w:tcW w:w="4820" w:type="dxa"/>
            <w:gridSpan w:val="5"/>
          </w:tcPr>
          <w:p w14:paraId="5BF052D9" w14:textId="6FC804FD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882" w:type="dxa"/>
            <w:gridSpan w:val="4"/>
          </w:tcPr>
          <w:p w14:paraId="4D49F112" w14:textId="77777777" w:rsidR="00E07681" w:rsidRPr="00DF1318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P</w:t>
            </w:r>
            <w:r w:rsidR="00306EE3"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rinciples of</w:t>
            </w: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  <w:r w:rsidR="00306EE3"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geotechnical</w:t>
            </w: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  <w:r w:rsidR="00306EE3"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engineering</w:t>
            </w: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</w:p>
          <w:p w14:paraId="2DA7358F" w14:textId="68ACEE96" w:rsidR="0023726F" w:rsidRPr="00DF1318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Das, </w:t>
            </w:r>
            <w:proofErr w:type="spellStart"/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Braja</w:t>
            </w:r>
            <w:proofErr w:type="spellEnd"/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M</w:t>
            </w:r>
          </w:p>
        </w:tc>
      </w:tr>
      <w:tr w:rsidR="0023726F" w:rsidRPr="00B80B61" w14:paraId="26BA8198" w14:textId="77777777" w:rsidTr="00DF1318">
        <w:tc>
          <w:tcPr>
            <w:tcW w:w="4820" w:type="dxa"/>
            <w:gridSpan w:val="5"/>
          </w:tcPr>
          <w:p w14:paraId="62BD9D1D" w14:textId="77777777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882" w:type="dxa"/>
            <w:gridSpan w:val="4"/>
          </w:tcPr>
          <w:p w14:paraId="15115D61" w14:textId="580DCABE" w:rsidR="00E07681" w:rsidRPr="00DF1318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Soil </w:t>
            </w:r>
            <w:r w:rsidR="006A6142"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Mechanics</w:t>
            </w: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 xml:space="preserve"> </w:t>
            </w:r>
          </w:p>
          <w:p w14:paraId="1F4149D7" w14:textId="1728D8C9" w:rsidR="0023726F" w:rsidRPr="00DF1318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DF1318">
              <w:rPr>
                <w:rFonts w:ascii="Simplified Arabic" w:eastAsia="Calibri" w:hAnsi="Simplified Arabic" w:cs="Simplified Arabic"/>
                <w:sz w:val="24"/>
                <w:szCs w:val="24"/>
              </w:rPr>
              <w:t> T. William Lambe, Robert V. Whitman</w:t>
            </w:r>
          </w:p>
        </w:tc>
      </w:tr>
      <w:tr w:rsidR="0023726F" w:rsidRPr="00B80B61" w14:paraId="733FF489" w14:textId="77777777" w:rsidTr="00756C6D">
        <w:tc>
          <w:tcPr>
            <w:tcW w:w="5670" w:type="dxa"/>
            <w:gridSpan w:val="6"/>
          </w:tcPr>
          <w:p w14:paraId="5C0A5871" w14:textId="77777777" w:rsidR="0023726F" w:rsidRPr="00B80B61" w:rsidRDefault="0023726F" w:rsidP="0023726F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Recommended books and references (scientific journals, reports...)</w:t>
            </w:r>
          </w:p>
        </w:tc>
        <w:tc>
          <w:tcPr>
            <w:tcW w:w="4032" w:type="dxa"/>
            <w:gridSpan w:val="3"/>
          </w:tcPr>
          <w:p w14:paraId="13EFD80C" w14:textId="77777777" w:rsidR="0023726F" w:rsidRPr="00B80B61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23726F" w:rsidRPr="00B80B61" w14:paraId="4C5639AD" w14:textId="77777777" w:rsidTr="00756C6D">
        <w:tc>
          <w:tcPr>
            <w:tcW w:w="5670" w:type="dxa"/>
            <w:gridSpan w:val="6"/>
          </w:tcPr>
          <w:p w14:paraId="7795241A" w14:textId="77777777" w:rsidR="0023726F" w:rsidRPr="00B80B61" w:rsidRDefault="0023726F" w:rsidP="0023726F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032" w:type="dxa"/>
            <w:gridSpan w:val="3"/>
          </w:tcPr>
          <w:p w14:paraId="2F96EEDC" w14:textId="77777777" w:rsidR="0023726F" w:rsidRPr="00B80B61" w:rsidRDefault="0023726F" w:rsidP="0023726F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F950" w14:textId="77777777" w:rsidR="002D773D" w:rsidRDefault="002D773D">
      <w:r>
        <w:separator/>
      </w:r>
    </w:p>
  </w:endnote>
  <w:endnote w:type="continuationSeparator" w:id="0">
    <w:p w14:paraId="41F3927C" w14:textId="77777777" w:rsidR="002D773D" w:rsidRDefault="002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B1A1" w14:textId="77777777" w:rsidR="002D773D" w:rsidRDefault="002D773D">
      <w:r>
        <w:separator/>
      </w:r>
    </w:p>
  </w:footnote>
  <w:footnote w:type="continuationSeparator" w:id="0">
    <w:p w14:paraId="24BF1D76" w14:textId="77777777" w:rsidR="002D773D" w:rsidRDefault="002D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718"/>
    <w:multiLevelType w:val="multilevel"/>
    <w:tmpl w:val="1BF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570B1"/>
    <w:multiLevelType w:val="multilevel"/>
    <w:tmpl w:val="245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4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5" w15:restartNumberingAfterBreak="0">
    <w:nsid w:val="380E252B"/>
    <w:multiLevelType w:val="multilevel"/>
    <w:tmpl w:val="204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6E0503"/>
    <w:multiLevelType w:val="multilevel"/>
    <w:tmpl w:val="C486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0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8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4A4533"/>
    <w:multiLevelType w:val="multilevel"/>
    <w:tmpl w:val="E9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916B6"/>
    <w:multiLevelType w:val="multilevel"/>
    <w:tmpl w:val="D54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A44C12"/>
    <w:multiLevelType w:val="multilevel"/>
    <w:tmpl w:val="070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922E79"/>
    <w:multiLevelType w:val="multilevel"/>
    <w:tmpl w:val="051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824664">
    <w:abstractNumId w:val="23"/>
  </w:num>
  <w:num w:numId="2" w16cid:durableId="1280919644">
    <w:abstractNumId w:val="58"/>
  </w:num>
  <w:num w:numId="3" w16cid:durableId="356010658">
    <w:abstractNumId w:val="21"/>
  </w:num>
  <w:num w:numId="4" w16cid:durableId="1203177386">
    <w:abstractNumId w:val="8"/>
  </w:num>
  <w:num w:numId="5" w16cid:durableId="1444493033">
    <w:abstractNumId w:val="11"/>
  </w:num>
  <w:num w:numId="6" w16cid:durableId="321814149">
    <w:abstractNumId w:val="41"/>
  </w:num>
  <w:num w:numId="7" w16cid:durableId="769357634">
    <w:abstractNumId w:val="45"/>
  </w:num>
  <w:num w:numId="8" w16cid:durableId="836727676">
    <w:abstractNumId w:val="40"/>
  </w:num>
  <w:num w:numId="9" w16cid:durableId="1941179785">
    <w:abstractNumId w:val="43"/>
  </w:num>
  <w:num w:numId="10" w16cid:durableId="202598502">
    <w:abstractNumId w:val="16"/>
  </w:num>
  <w:num w:numId="11" w16cid:durableId="1559052384">
    <w:abstractNumId w:val="13"/>
  </w:num>
  <w:num w:numId="12" w16cid:durableId="1214587269">
    <w:abstractNumId w:val="1"/>
  </w:num>
  <w:num w:numId="13" w16cid:durableId="555552332">
    <w:abstractNumId w:val="52"/>
  </w:num>
  <w:num w:numId="14" w16cid:durableId="1224870381">
    <w:abstractNumId w:val="59"/>
  </w:num>
  <w:num w:numId="15" w16cid:durableId="800923751">
    <w:abstractNumId w:val="4"/>
  </w:num>
  <w:num w:numId="16" w16cid:durableId="1337271878">
    <w:abstractNumId w:val="35"/>
  </w:num>
  <w:num w:numId="17" w16cid:durableId="396126297">
    <w:abstractNumId w:val="24"/>
  </w:num>
  <w:num w:numId="18" w16cid:durableId="1317690359">
    <w:abstractNumId w:val="57"/>
  </w:num>
  <w:num w:numId="19" w16cid:durableId="171603563">
    <w:abstractNumId w:val="29"/>
  </w:num>
  <w:num w:numId="20" w16cid:durableId="1519723">
    <w:abstractNumId w:val="7"/>
  </w:num>
  <w:num w:numId="21" w16cid:durableId="914046225">
    <w:abstractNumId w:val="55"/>
  </w:num>
  <w:num w:numId="22" w16cid:durableId="1284925194">
    <w:abstractNumId w:val="32"/>
  </w:num>
  <w:num w:numId="23" w16cid:durableId="1712340411">
    <w:abstractNumId w:val="17"/>
  </w:num>
  <w:num w:numId="24" w16cid:durableId="2003775830">
    <w:abstractNumId w:val="49"/>
  </w:num>
  <w:num w:numId="25" w16cid:durableId="1519005358">
    <w:abstractNumId w:val="3"/>
  </w:num>
  <w:num w:numId="26" w16cid:durableId="160238790">
    <w:abstractNumId w:val="48"/>
  </w:num>
  <w:num w:numId="27" w16cid:durableId="1839616412">
    <w:abstractNumId w:val="22"/>
  </w:num>
  <w:num w:numId="28" w16cid:durableId="1180701194">
    <w:abstractNumId w:val="46"/>
  </w:num>
  <w:num w:numId="29" w16cid:durableId="521096370">
    <w:abstractNumId w:val="33"/>
  </w:num>
  <w:num w:numId="30" w16cid:durableId="431515312">
    <w:abstractNumId w:val="12"/>
  </w:num>
  <w:num w:numId="31" w16cid:durableId="1561596004">
    <w:abstractNumId w:val="27"/>
  </w:num>
  <w:num w:numId="32" w16cid:durableId="1443064960">
    <w:abstractNumId w:val="53"/>
  </w:num>
  <w:num w:numId="33" w16cid:durableId="1022053675">
    <w:abstractNumId w:val="5"/>
  </w:num>
  <w:num w:numId="34" w16cid:durableId="68776773">
    <w:abstractNumId w:val="18"/>
  </w:num>
  <w:num w:numId="35" w16cid:durableId="1157263494">
    <w:abstractNumId w:val="10"/>
  </w:num>
  <w:num w:numId="36" w16cid:durableId="1582911625">
    <w:abstractNumId w:val="36"/>
  </w:num>
  <w:num w:numId="37" w16cid:durableId="1521313495">
    <w:abstractNumId w:val="14"/>
  </w:num>
  <w:num w:numId="38" w16cid:durableId="1526363287">
    <w:abstractNumId w:val="39"/>
  </w:num>
  <w:num w:numId="39" w16cid:durableId="461775749">
    <w:abstractNumId w:val="9"/>
  </w:num>
  <w:num w:numId="40" w16cid:durableId="1722558422">
    <w:abstractNumId w:val="51"/>
  </w:num>
  <w:num w:numId="41" w16cid:durableId="1648628700">
    <w:abstractNumId w:val="42"/>
  </w:num>
  <w:num w:numId="42" w16cid:durableId="169569394">
    <w:abstractNumId w:val="31"/>
  </w:num>
  <w:num w:numId="43" w16cid:durableId="6257138">
    <w:abstractNumId w:val="19"/>
  </w:num>
  <w:num w:numId="44" w16cid:durableId="744571210">
    <w:abstractNumId w:val="47"/>
  </w:num>
  <w:num w:numId="45" w16cid:durableId="1846281482">
    <w:abstractNumId w:val="37"/>
  </w:num>
  <w:num w:numId="46" w16cid:durableId="852493693">
    <w:abstractNumId w:val="0"/>
  </w:num>
  <w:num w:numId="47" w16cid:durableId="1964191812">
    <w:abstractNumId w:val="34"/>
  </w:num>
  <w:num w:numId="48" w16cid:durableId="2134009386">
    <w:abstractNumId w:val="28"/>
  </w:num>
  <w:num w:numId="49" w16cid:durableId="2026982456">
    <w:abstractNumId w:val="30"/>
  </w:num>
  <w:num w:numId="50" w16cid:durableId="2048214984">
    <w:abstractNumId w:val="26"/>
  </w:num>
  <w:num w:numId="51" w16cid:durableId="1296376148">
    <w:abstractNumId w:val="6"/>
  </w:num>
  <w:num w:numId="52" w16cid:durableId="1796606128">
    <w:abstractNumId w:val="20"/>
  </w:num>
  <w:num w:numId="53" w16cid:durableId="1045177983">
    <w:abstractNumId w:val="38"/>
  </w:num>
  <w:num w:numId="54" w16cid:durableId="874736035">
    <w:abstractNumId w:val="15"/>
  </w:num>
  <w:num w:numId="55" w16cid:durableId="1271277522">
    <w:abstractNumId w:val="44"/>
  </w:num>
  <w:num w:numId="56" w16cid:durableId="611523187">
    <w:abstractNumId w:val="56"/>
  </w:num>
  <w:num w:numId="57" w16cid:durableId="1378436692">
    <w:abstractNumId w:val="50"/>
  </w:num>
  <w:num w:numId="58" w16cid:durableId="96219436">
    <w:abstractNumId w:val="2"/>
  </w:num>
  <w:num w:numId="59" w16cid:durableId="111096759">
    <w:abstractNumId w:val="54"/>
  </w:num>
  <w:num w:numId="60" w16cid:durableId="1869442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0D9"/>
    <w:rsid w:val="0003472C"/>
    <w:rsid w:val="0003667D"/>
    <w:rsid w:val="000428A6"/>
    <w:rsid w:val="00045418"/>
    <w:rsid w:val="00063AD7"/>
    <w:rsid w:val="00065187"/>
    <w:rsid w:val="00066B8F"/>
    <w:rsid w:val="00070BE9"/>
    <w:rsid w:val="0007162C"/>
    <w:rsid w:val="000739D2"/>
    <w:rsid w:val="00073C2C"/>
    <w:rsid w:val="0008002F"/>
    <w:rsid w:val="00090A55"/>
    <w:rsid w:val="00096D3D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63472"/>
    <w:rsid w:val="00182552"/>
    <w:rsid w:val="001916A2"/>
    <w:rsid w:val="001A43FE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26F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D773D"/>
    <w:rsid w:val="002E713A"/>
    <w:rsid w:val="002F032D"/>
    <w:rsid w:val="002F1537"/>
    <w:rsid w:val="00305509"/>
    <w:rsid w:val="0030567D"/>
    <w:rsid w:val="003068D1"/>
    <w:rsid w:val="00306EE3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1BF1"/>
    <w:rsid w:val="00363496"/>
    <w:rsid w:val="00365ABE"/>
    <w:rsid w:val="003662F6"/>
    <w:rsid w:val="00371B8B"/>
    <w:rsid w:val="00372012"/>
    <w:rsid w:val="00373622"/>
    <w:rsid w:val="00374628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A70AE"/>
    <w:rsid w:val="003B7412"/>
    <w:rsid w:val="003C56DD"/>
    <w:rsid w:val="003C5E49"/>
    <w:rsid w:val="003C6A37"/>
    <w:rsid w:val="003D4EAF"/>
    <w:rsid w:val="003D742A"/>
    <w:rsid w:val="003D7925"/>
    <w:rsid w:val="003E04B9"/>
    <w:rsid w:val="003E11CD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D768B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76195"/>
    <w:rsid w:val="00576AB8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B7680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01EC"/>
    <w:rsid w:val="00624259"/>
    <w:rsid w:val="0062425B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6142"/>
    <w:rsid w:val="006A73CC"/>
    <w:rsid w:val="006B6B2C"/>
    <w:rsid w:val="006C2FDA"/>
    <w:rsid w:val="006C3D14"/>
    <w:rsid w:val="006C5CDF"/>
    <w:rsid w:val="006D199E"/>
    <w:rsid w:val="006D2916"/>
    <w:rsid w:val="006D4F39"/>
    <w:rsid w:val="006D6630"/>
    <w:rsid w:val="006E0C8C"/>
    <w:rsid w:val="007028BA"/>
    <w:rsid w:val="00704757"/>
    <w:rsid w:val="00706B3C"/>
    <w:rsid w:val="00725360"/>
    <w:rsid w:val="0074532D"/>
    <w:rsid w:val="0075530C"/>
    <w:rsid w:val="0075633E"/>
    <w:rsid w:val="00756C6D"/>
    <w:rsid w:val="007600F6"/>
    <w:rsid w:val="007625C1"/>
    <w:rsid w:val="007645B4"/>
    <w:rsid w:val="007716A6"/>
    <w:rsid w:val="00772823"/>
    <w:rsid w:val="00781E5D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1069C"/>
    <w:rsid w:val="00825543"/>
    <w:rsid w:val="00827988"/>
    <w:rsid w:val="00840981"/>
    <w:rsid w:val="008467A5"/>
    <w:rsid w:val="00847CF6"/>
    <w:rsid w:val="00852557"/>
    <w:rsid w:val="008536AD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230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329A"/>
    <w:rsid w:val="00A04C7D"/>
    <w:rsid w:val="00A07775"/>
    <w:rsid w:val="00A11A57"/>
    <w:rsid w:val="00A12B55"/>
    <w:rsid w:val="00A12DBC"/>
    <w:rsid w:val="00A15242"/>
    <w:rsid w:val="00A2126F"/>
    <w:rsid w:val="00A21460"/>
    <w:rsid w:val="00A25F57"/>
    <w:rsid w:val="00A30E4D"/>
    <w:rsid w:val="00A32E9F"/>
    <w:rsid w:val="00A41993"/>
    <w:rsid w:val="00A460BA"/>
    <w:rsid w:val="00A53B00"/>
    <w:rsid w:val="00A61B66"/>
    <w:rsid w:val="00A658DD"/>
    <w:rsid w:val="00A676A4"/>
    <w:rsid w:val="00A700BE"/>
    <w:rsid w:val="00A717B0"/>
    <w:rsid w:val="00A85288"/>
    <w:rsid w:val="00A92143"/>
    <w:rsid w:val="00A9546E"/>
    <w:rsid w:val="00AB2B0D"/>
    <w:rsid w:val="00AB71A5"/>
    <w:rsid w:val="00AB77C8"/>
    <w:rsid w:val="00AC6CFB"/>
    <w:rsid w:val="00AD1BD9"/>
    <w:rsid w:val="00AD2076"/>
    <w:rsid w:val="00AD293C"/>
    <w:rsid w:val="00AD2A3A"/>
    <w:rsid w:val="00AD3287"/>
    <w:rsid w:val="00AD346D"/>
    <w:rsid w:val="00AD37EA"/>
    <w:rsid w:val="00AD4058"/>
    <w:rsid w:val="00AD59D6"/>
    <w:rsid w:val="00AD7ACE"/>
    <w:rsid w:val="00AE167A"/>
    <w:rsid w:val="00AF09DD"/>
    <w:rsid w:val="00AF5BC7"/>
    <w:rsid w:val="00AF5E73"/>
    <w:rsid w:val="00B02265"/>
    <w:rsid w:val="00B02F18"/>
    <w:rsid w:val="00B037BC"/>
    <w:rsid w:val="00B04671"/>
    <w:rsid w:val="00B12699"/>
    <w:rsid w:val="00B135B1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9C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04FB8"/>
    <w:rsid w:val="00C15772"/>
    <w:rsid w:val="00C167F6"/>
    <w:rsid w:val="00C16DCB"/>
    <w:rsid w:val="00C20426"/>
    <w:rsid w:val="00C21051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4A95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E0D50"/>
    <w:rsid w:val="00DF01A9"/>
    <w:rsid w:val="00DF1318"/>
    <w:rsid w:val="00DF2689"/>
    <w:rsid w:val="00E07681"/>
    <w:rsid w:val="00E17DF2"/>
    <w:rsid w:val="00E22A20"/>
    <w:rsid w:val="00E2438F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6DC4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65ADD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  <w:style w:type="character" w:styleId="Strong">
    <w:name w:val="Strong"/>
    <w:basedOn w:val="DefaultParagraphFont"/>
    <w:uiPriority w:val="22"/>
    <w:qFormat/>
    <w:rsid w:val="003C5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38</cp:revision>
  <cp:lastPrinted>2024-01-23T07:51:00Z</cp:lastPrinted>
  <dcterms:created xsi:type="dcterms:W3CDTF">2024-04-29T11:35:00Z</dcterms:created>
  <dcterms:modified xsi:type="dcterms:W3CDTF">2025-12-08T10:10:00Z</dcterms:modified>
</cp:coreProperties>
</file>