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A798" w14:textId="77777777" w:rsidR="00CA04EA" w:rsidRDefault="00CA04EA" w:rsidP="00CA04E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CA04EA">
        <w:rPr>
          <w:rFonts w:cs="Times New Roman"/>
          <w:b/>
          <w:bCs/>
          <w:sz w:val="32"/>
          <w:szCs w:val="32"/>
          <w:lang w:bidi="ar-IQ"/>
        </w:rPr>
        <w:t>Engineering Management &amp;Economics</w:t>
      </w:r>
      <w:r>
        <w:rPr>
          <w:rFonts w:cs="Times New Roman" w:hint="cs"/>
          <w:b/>
          <w:bCs/>
          <w:sz w:val="32"/>
          <w:szCs w:val="32"/>
          <w:rtl/>
          <w:lang w:bidi="ar-IQ"/>
        </w:rPr>
        <w:t xml:space="preserve"> </w:t>
      </w:r>
    </w:p>
    <w:p w14:paraId="56F8976A" w14:textId="732C8CEF" w:rsidR="00E867CC" w:rsidRPr="00E867CC" w:rsidRDefault="009B68B5" w:rsidP="00CA04E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</w:t>
      </w:r>
      <w:r w:rsidR="00CA04EA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Pr="00EE06F8">
        <w:rPr>
          <w:rFonts w:cs="Times New Roman"/>
          <w:b/>
          <w:bCs/>
          <w:sz w:val="32"/>
          <w:szCs w:val="32"/>
        </w:rPr>
        <w:t>Description Form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611"/>
        <w:gridCol w:w="229"/>
        <w:gridCol w:w="444"/>
        <w:gridCol w:w="1839"/>
        <w:gridCol w:w="1038"/>
        <w:gridCol w:w="1082"/>
        <w:gridCol w:w="2154"/>
        <w:gridCol w:w="1486"/>
      </w:tblGrid>
      <w:tr w:rsidR="001121E3" w:rsidRPr="00B80B61" w14:paraId="317DEA1E" w14:textId="77777777" w:rsidTr="00A11987">
        <w:tc>
          <w:tcPr>
            <w:tcW w:w="9781" w:type="dxa"/>
            <w:gridSpan w:val="9"/>
            <w:shd w:val="clear" w:color="auto" w:fill="DEEAF6"/>
          </w:tcPr>
          <w:p w14:paraId="19D5933A" w14:textId="3DB44452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A11987">
        <w:tc>
          <w:tcPr>
            <w:tcW w:w="9781" w:type="dxa"/>
            <w:gridSpan w:val="9"/>
          </w:tcPr>
          <w:p w14:paraId="468B56C4" w14:textId="0AB4D54B" w:rsidR="001121E3" w:rsidRPr="00FE4C87" w:rsidRDefault="00CA04EA" w:rsidP="00CA04EA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A04EA">
              <w:rPr>
                <w:rFonts w:cs="Times New Roman"/>
                <w:sz w:val="32"/>
                <w:szCs w:val="32"/>
                <w:lang w:bidi="ar-IQ"/>
              </w:rPr>
              <w:t>Engineering Management &amp;Economics</w:t>
            </w:r>
          </w:p>
        </w:tc>
      </w:tr>
      <w:tr w:rsidR="001121E3" w:rsidRPr="00B80B61" w14:paraId="0CC40E8C" w14:textId="77777777" w:rsidTr="00A11987">
        <w:tc>
          <w:tcPr>
            <w:tcW w:w="9781" w:type="dxa"/>
            <w:gridSpan w:val="9"/>
            <w:shd w:val="clear" w:color="auto" w:fill="DEEAF6"/>
          </w:tcPr>
          <w:p w14:paraId="2AAB6811" w14:textId="2AC75FD5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A11987">
        <w:tc>
          <w:tcPr>
            <w:tcW w:w="9781" w:type="dxa"/>
            <w:gridSpan w:val="9"/>
          </w:tcPr>
          <w:p w14:paraId="586ED771" w14:textId="6C4F9D67" w:rsidR="001121E3" w:rsidRPr="00FE4C87" w:rsidRDefault="00CA04EA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CA04EA">
              <w:rPr>
                <w:rFonts w:cs="Times New Roman"/>
                <w:color w:val="000000"/>
                <w:sz w:val="24"/>
                <w:szCs w:val="24"/>
              </w:rPr>
              <w:t>CI</w:t>
            </w:r>
            <w:r w:rsidR="004B783E">
              <w:rPr>
                <w:rFonts w:cs="Times New Roman"/>
                <w:color w:val="000000"/>
                <w:sz w:val="24"/>
                <w:szCs w:val="24"/>
              </w:rPr>
              <w:t>V31206</w:t>
            </w:r>
          </w:p>
        </w:tc>
      </w:tr>
      <w:tr w:rsidR="001121E3" w:rsidRPr="00B80B61" w14:paraId="3DA024FC" w14:textId="77777777" w:rsidTr="00A11987">
        <w:tc>
          <w:tcPr>
            <w:tcW w:w="9781" w:type="dxa"/>
            <w:gridSpan w:val="9"/>
            <w:shd w:val="clear" w:color="auto" w:fill="DEEAF6"/>
          </w:tcPr>
          <w:p w14:paraId="0E0DAC85" w14:textId="05C3274D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A11987">
        <w:tc>
          <w:tcPr>
            <w:tcW w:w="9781" w:type="dxa"/>
            <w:gridSpan w:val="9"/>
          </w:tcPr>
          <w:p w14:paraId="43B7BA01" w14:textId="1F25C4A7" w:rsidR="00FE4C87" w:rsidRPr="00FE4C87" w:rsidRDefault="00FE4C87" w:rsidP="00FE4C8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First semester / 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Third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A11987">
        <w:tc>
          <w:tcPr>
            <w:tcW w:w="9781" w:type="dxa"/>
            <w:gridSpan w:val="9"/>
            <w:shd w:val="clear" w:color="auto" w:fill="DEEAF6"/>
          </w:tcPr>
          <w:p w14:paraId="70837C07" w14:textId="10A8A786" w:rsidR="001121E3" w:rsidRPr="00B80B61" w:rsidRDefault="00F74C41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A11987">
        <w:tc>
          <w:tcPr>
            <w:tcW w:w="9781" w:type="dxa"/>
            <w:gridSpan w:val="9"/>
          </w:tcPr>
          <w:p w14:paraId="71CBB507" w14:textId="51EABB10" w:rsidR="001121E3" w:rsidRPr="00B80B61" w:rsidRDefault="00FE4C87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1/10/</w:t>
            </w:r>
            <w:r w:rsidR="00A119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2025</w:t>
            </w:r>
          </w:p>
        </w:tc>
      </w:tr>
      <w:tr w:rsidR="001121E3" w:rsidRPr="00B80B61" w14:paraId="4DDF8FA6" w14:textId="77777777" w:rsidTr="00A11987">
        <w:tc>
          <w:tcPr>
            <w:tcW w:w="9781" w:type="dxa"/>
            <w:gridSpan w:val="9"/>
            <w:shd w:val="clear" w:color="auto" w:fill="DEEAF6"/>
          </w:tcPr>
          <w:p w14:paraId="4DEE6683" w14:textId="312F7C5F" w:rsidR="001121E3" w:rsidRPr="00B80B61" w:rsidRDefault="00EC7169" w:rsidP="0013688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A11987">
        <w:tc>
          <w:tcPr>
            <w:tcW w:w="9781" w:type="dxa"/>
            <w:gridSpan w:val="9"/>
          </w:tcPr>
          <w:p w14:paraId="1496A7E7" w14:textId="679AD377" w:rsidR="001121E3" w:rsidRPr="00B80B61" w:rsidRDefault="00FE4C87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 class</w:t>
            </w:r>
          </w:p>
        </w:tc>
      </w:tr>
      <w:tr w:rsidR="00B50377" w:rsidRPr="00B80B61" w14:paraId="7F049733" w14:textId="77777777" w:rsidTr="00A11987">
        <w:tc>
          <w:tcPr>
            <w:tcW w:w="9781" w:type="dxa"/>
            <w:gridSpan w:val="9"/>
            <w:shd w:val="clear" w:color="auto" w:fill="DEEAF6"/>
          </w:tcPr>
          <w:p w14:paraId="7E50DB93" w14:textId="77777777" w:rsidR="00B50377" w:rsidRPr="00B80B61" w:rsidRDefault="00B50377" w:rsidP="0013688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B80B61" w14:paraId="555A1016" w14:textId="77777777" w:rsidTr="00A11987">
        <w:tc>
          <w:tcPr>
            <w:tcW w:w="9781" w:type="dxa"/>
            <w:gridSpan w:val="9"/>
          </w:tcPr>
          <w:p w14:paraId="4A7A6AA5" w14:textId="351731F3" w:rsidR="00BA11FF" w:rsidRPr="00B80B61" w:rsidRDefault="00FE4C87" w:rsidP="00FE4C8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The.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2 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hr.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/ 3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Units</w:t>
            </w:r>
          </w:p>
        </w:tc>
      </w:tr>
      <w:tr w:rsidR="003E4FBE" w:rsidRPr="00B80B61" w14:paraId="46F4DF37" w14:textId="77777777" w:rsidTr="00A11987">
        <w:tc>
          <w:tcPr>
            <w:tcW w:w="9781" w:type="dxa"/>
            <w:gridSpan w:val="9"/>
            <w:shd w:val="clear" w:color="auto" w:fill="DEEAF6"/>
          </w:tcPr>
          <w:p w14:paraId="7B27F527" w14:textId="38CE6323" w:rsidR="003E4FBE" w:rsidRPr="00B02F18" w:rsidRDefault="00A53B00" w:rsidP="00136883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A11987">
        <w:tc>
          <w:tcPr>
            <w:tcW w:w="9781" w:type="dxa"/>
            <w:gridSpan w:val="9"/>
          </w:tcPr>
          <w:p w14:paraId="7BD0C041" w14:textId="4F7254E8" w:rsidR="00A704BD" w:rsidRDefault="00A53B00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</w:t>
            </w:r>
            <w:r w:rsidR="00A704BD" w:rsidRP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ohammed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Was</w:t>
            </w:r>
            <w:r w:rsidR="00A119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ea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Sabbar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  <w:p w14:paraId="72E67ECE" w14:textId="4E71B8F0" w:rsidR="00A53B00" w:rsidRPr="00B80B61" w:rsidRDefault="00F74C41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A704BD" w:rsidRP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mohammed.w.sabbar@muc.edu.iq</w:t>
            </w:r>
          </w:p>
        </w:tc>
      </w:tr>
      <w:tr w:rsidR="00B50377" w:rsidRPr="00B80B61" w14:paraId="51090FE5" w14:textId="77777777" w:rsidTr="00A11987">
        <w:tc>
          <w:tcPr>
            <w:tcW w:w="9781" w:type="dxa"/>
            <w:gridSpan w:val="9"/>
            <w:shd w:val="clear" w:color="auto" w:fill="DEEAF6"/>
          </w:tcPr>
          <w:p w14:paraId="5D5CED50" w14:textId="77777777" w:rsidR="00BA11FF" w:rsidRPr="00B80B61" w:rsidRDefault="00B50377" w:rsidP="00136883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A04EA" w:rsidRPr="00B80B61" w14:paraId="6B662ADB" w14:textId="77777777" w:rsidTr="00E829B1">
        <w:tc>
          <w:tcPr>
            <w:tcW w:w="2144" w:type="dxa"/>
            <w:gridSpan w:val="4"/>
          </w:tcPr>
          <w:p w14:paraId="63B3AB5E" w14:textId="77777777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6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vAlign w:val="center"/>
          </w:tcPr>
          <w:p w14:paraId="36E194DB" w14:textId="32436E40" w:rsidR="00CA04EA" w:rsidRPr="00CA04EA" w:rsidRDefault="00CA04EA" w:rsidP="00CA04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Style w:val="fontstyle01"/>
                <w:rFonts w:ascii="Simplified Arabic" w:eastAsia="Calibri" w:hAnsi="Simplified Arabic" w:cs="Simplified Arabic"/>
                <w:color w:val="auto"/>
                <w:lang w:bidi="ar-IQ"/>
              </w:rPr>
            </w:pPr>
            <w:r>
              <w:rPr>
                <w:rStyle w:val="fontstyle01"/>
              </w:rPr>
              <w:t xml:space="preserve"> Provide engineering students with an awareness of specific planning and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scheduling techniques that can be used to implement and monitor new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activities in construction projects</w:t>
            </w:r>
          </w:p>
          <w:p w14:paraId="6189E39F" w14:textId="190AA4AF" w:rsidR="00CA04EA" w:rsidRPr="00CA04EA" w:rsidRDefault="00CA04EA" w:rsidP="00CA04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Style w:val="fontstyle01"/>
                <w:rFonts w:ascii="Simplified Arabic" w:eastAsia="Calibri" w:hAnsi="Simplified Arabic" w:cs="Simplified Arabic"/>
                <w:color w:val="auto"/>
                <w:lang w:bidi="ar-IQ"/>
              </w:rPr>
            </w:pPr>
            <w:r>
              <w:rPr>
                <w:rStyle w:val="fontstyle01"/>
              </w:rPr>
              <w:t xml:space="preserve"> Evolution of management thought, theories, concepts and tools; and The key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dimensions of the discipline of management.</w:t>
            </w:r>
          </w:p>
          <w:p w14:paraId="7DA1DFDA" w14:textId="35789C33" w:rsidR="00CA04EA" w:rsidRPr="00CA04EA" w:rsidRDefault="00CA04EA" w:rsidP="00CA04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Style w:val="fontstyle01"/>
                <w:rFonts w:ascii="Simplified Arabic" w:eastAsia="Calibri" w:hAnsi="Simplified Arabic" w:cs="Simplified Arabic"/>
                <w:color w:val="auto"/>
                <w:lang w:bidi="ar-IQ"/>
              </w:rPr>
            </w:pPr>
            <w:r>
              <w:rPr>
                <w:rStyle w:val="fontstyle01"/>
              </w:rPr>
              <w:t>. Understand importance of engineering economics, and gain a working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knowledge of money management and how to make economic comparisons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of alternative engineering designs or projects.</w:t>
            </w:r>
          </w:p>
          <w:p w14:paraId="478958FC" w14:textId="639E522B" w:rsidR="00CA04EA" w:rsidRPr="00CA04EA" w:rsidRDefault="00CA04EA" w:rsidP="00CA04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Style w:val="fontstyle01"/>
                <w:rFonts w:ascii="Simplified Arabic" w:eastAsia="Calibri" w:hAnsi="Simplified Arabic" w:cs="Simplified Arabic"/>
                <w:color w:val="auto"/>
                <w:lang w:bidi="ar-IQ"/>
              </w:rPr>
            </w:pPr>
            <w:r>
              <w:rPr>
                <w:rStyle w:val="fontstyle01"/>
              </w:rPr>
              <w:t xml:space="preserve"> Understand the impact of depreciation, inflation, taxation, economic basis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for replacement, project scheduling, and applied to economic investment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and project-management problems.</w:t>
            </w:r>
          </w:p>
          <w:p w14:paraId="07CD55ED" w14:textId="4BC328F1" w:rsidR="00CA04EA" w:rsidRPr="00AB24AB" w:rsidRDefault="00CA04EA" w:rsidP="00CA04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rtl/>
                <w:lang w:bidi="ar-IQ"/>
              </w:rPr>
            </w:pPr>
            <w:r>
              <w:rPr>
                <w:rStyle w:val="fontstyle01"/>
                <w:color w:val="000000"/>
              </w:rPr>
              <w:t xml:space="preserve"> </w:t>
            </w:r>
            <w:r>
              <w:rPr>
                <w:rStyle w:val="fontstyle01"/>
              </w:rPr>
              <w:t>Appreciation of ethical and other economic issues related to professional and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</w:rPr>
              <w:t>personal financial and economic decisions.</w:t>
            </w:r>
          </w:p>
        </w:tc>
      </w:tr>
      <w:tr w:rsidR="00CA04EA" w:rsidRPr="00B80B61" w14:paraId="58EC4CC3" w14:textId="77777777" w:rsidTr="00A11987">
        <w:tc>
          <w:tcPr>
            <w:tcW w:w="9781" w:type="dxa"/>
            <w:gridSpan w:val="9"/>
            <w:shd w:val="clear" w:color="auto" w:fill="DEEAF6"/>
          </w:tcPr>
          <w:p w14:paraId="4986F185" w14:textId="77777777" w:rsidR="00CA04EA" w:rsidRPr="00B80B61" w:rsidRDefault="00CA04EA" w:rsidP="00CA04EA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A04EA" w:rsidRPr="00B80B61" w14:paraId="2818180F" w14:textId="77777777" w:rsidTr="00A11987">
        <w:tc>
          <w:tcPr>
            <w:tcW w:w="1509" w:type="dxa"/>
            <w:gridSpan w:val="2"/>
          </w:tcPr>
          <w:p w14:paraId="7C49BFAF" w14:textId="77777777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272" w:type="dxa"/>
            <w:gridSpan w:val="7"/>
          </w:tcPr>
          <w:p w14:paraId="58F9EED9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main adopted strategy in delivering this module, encourage students’</w:t>
            </w:r>
          </w:p>
          <w:p w14:paraId="074CDFC4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participation in the exercises, refining and expanding their critical thinking skills</w:t>
            </w:r>
          </w:p>
          <w:p w14:paraId="2B310905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comprised:</w:t>
            </w:r>
          </w:p>
          <w:p w14:paraId="1333BBBE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Lectures.</w:t>
            </w:r>
          </w:p>
          <w:p w14:paraId="42B620F8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Tutorials.</w:t>
            </w:r>
          </w:p>
          <w:p w14:paraId="601BA5BB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Homework and Assignments.</w:t>
            </w:r>
          </w:p>
          <w:p w14:paraId="1FB1D665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Tests and Exams.</w:t>
            </w:r>
          </w:p>
          <w:p w14:paraId="047AA3E8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In-Class Questions and Discussions.</w:t>
            </w:r>
          </w:p>
          <w:p w14:paraId="6FEEAC22" w14:textId="77777777" w:rsidR="00CA04EA" w:rsidRPr="00CA04E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Connection between Theory and Application.</w:t>
            </w:r>
          </w:p>
          <w:p w14:paraId="09694F69" w14:textId="69CBB1D2" w:rsidR="00CA04EA" w:rsidRPr="005A2DF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A04E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Extracurricular Activities.In- and Out-Class oral conservations.</w:t>
            </w:r>
          </w:p>
        </w:tc>
      </w:tr>
      <w:tr w:rsidR="00CA04EA" w:rsidRPr="00B80B61" w14:paraId="552FCC21" w14:textId="77777777" w:rsidTr="00A11987">
        <w:tc>
          <w:tcPr>
            <w:tcW w:w="9781" w:type="dxa"/>
            <w:gridSpan w:val="9"/>
            <w:shd w:val="clear" w:color="auto" w:fill="DEEAF6"/>
            <w:vAlign w:val="center"/>
          </w:tcPr>
          <w:p w14:paraId="3F5FB1AB" w14:textId="77777777" w:rsidR="00CA04EA" w:rsidRPr="00B80B61" w:rsidRDefault="00CA04EA" w:rsidP="00CA04EA">
            <w:pPr>
              <w:numPr>
                <w:ilvl w:val="0"/>
                <w:numId w:val="1"/>
              </w:numPr>
              <w:ind w:left="513" w:hanging="513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A04EA" w:rsidRPr="00B80B61" w14:paraId="34C7557C" w14:textId="77777777" w:rsidTr="00FC6978">
        <w:trPr>
          <w:trHeight w:val="182"/>
        </w:trPr>
        <w:tc>
          <w:tcPr>
            <w:tcW w:w="898" w:type="dxa"/>
            <w:shd w:val="clear" w:color="auto" w:fill="BDD6EE"/>
            <w:vAlign w:val="center"/>
          </w:tcPr>
          <w:p w14:paraId="25B6F41E" w14:textId="0AF7A077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40" w:type="dxa"/>
            <w:gridSpan w:val="2"/>
            <w:shd w:val="clear" w:color="auto" w:fill="BDD6EE"/>
            <w:vAlign w:val="center"/>
          </w:tcPr>
          <w:p w14:paraId="76BFEC7A" w14:textId="58D39B85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251" w:type="dxa"/>
            <w:gridSpan w:val="2"/>
            <w:shd w:val="clear" w:color="auto" w:fill="BDD6EE"/>
            <w:vAlign w:val="center"/>
          </w:tcPr>
          <w:p w14:paraId="3BDFEC65" w14:textId="49021030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120" w:type="dxa"/>
            <w:gridSpan w:val="2"/>
            <w:shd w:val="clear" w:color="auto" w:fill="BDD6EE"/>
            <w:vAlign w:val="center"/>
          </w:tcPr>
          <w:p w14:paraId="187CC412" w14:textId="6F33D73A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2172" w:type="dxa"/>
            <w:shd w:val="clear" w:color="auto" w:fill="BDD6EE"/>
            <w:vAlign w:val="center"/>
          </w:tcPr>
          <w:p w14:paraId="057AB72A" w14:textId="32D4CB73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500" w:type="dxa"/>
            <w:shd w:val="clear" w:color="auto" w:fill="BDD6EE"/>
            <w:vAlign w:val="center"/>
          </w:tcPr>
          <w:p w14:paraId="4FD18AD1" w14:textId="288DCC87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CA04EA" w:rsidRPr="00B80B61" w14:paraId="340DF716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3E63AA6B" w14:textId="77777777" w:rsidR="00CA04EA" w:rsidRPr="00932AE2" w:rsidRDefault="00CA04EA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08D96A0" w14:textId="3AE03DC2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 w:val="restart"/>
            <w:vAlign w:val="center"/>
          </w:tcPr>
          <w:p w14:paraId="27CDFF78" w14:textId="1502CC38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Introduce students to definitions of projects management, Life cycle of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project, Project parties and responsibilities, types of contracts , and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definition of the Iraqi standard documents approved in order to defend</w:t>
            </w:r>
          </w:p>
          <w:p w14:paraId="24CE5AEA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decisions made relating to ethics, legal, and safety requirements made as a</w:t>
            </w:r>
          </w:p>
          <w:p w14:paraId="22D8441B" w14:textId="1B827EF4" w:rsidR="00CA04EA" w:rsidRPr="0038398A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civil engineer</w:t>
            </w:r>
          </w:p>
        </w:tc>
        <w:tc>
          <w:tcPr>
            <w:tcW w:w="2120" w:type="dxa"/>
            <w:gridSpan w:val="2"/>
          </w:tcPr>
          <w:p w14:paraId="5DB97A53" w14:textId="1FC210F7" w:rsidR="00CA04EA" w:rsidRPr="00B80B61" w:rsidRDefault="00C9102C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Construction Management Approach</w:t>
            </w:r>
          </w:p>
        </w:tc>
        <w:tc>
          <w:tcPr>
            <w:tcW w:w="2172" w:type="dxa"/>
            <w:vMerge w:val="restart"/>
            <w:vAlign w:val="center"/>
          </w:tcPr>
          <w:p w14:paraId="47C1AE9A" w14:textId="09BF1E11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Interactive Learning</w:t>
            </w:r>
          </w:p>
          <w:p w14:paraId="72890C37" w14:textId="13F16273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Collaborative Learning</w:t>
            </w:r>
          </w:p>
          <w:p w14:paraId="1922325B" w14:textId="77777777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Technology-enhanced </w:t>
            </w:r>
          </w:p>
          <w:p w14:paraId="2F96BD09" w14:textId="3227A912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Learning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Problem-based Learning</w:t>
            </w:r>
          </w:p>
        </w:tc>
        <w:tc>
          <w:tcPr>
            <w:tcW w:w="1500" w:type="dxa"/>
            <w:vAlign w:val="center"/>
          </w:tcPr>
          <w:p w14:paraId="44DED7EA" w14:textId="42A2E265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CA04EA" w:rsidRPr="00B80B61" w14:paraId="2B23E104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30096046" w14:textId="77777777" w:rsidR="00CA04EA" w:rsidRPr="00B80B61" w:rsidRDefault="00CA04EA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BF2D13" w14:textId="140783E1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2B313554" w14:textId="77777777" w:rsidR="00CA04EA" w:rsidRPr="0038398A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19D7A212" w14:textId="41B559CA" w:rsidR="00CA04EA" w:rsidRPr="00B80B61" w:rsidRDefault="00C9102C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Project Delivery Method , Project Construction Phases, Iraqi Standard Documentation</w:t>
            </w:r>
          </w:p>
        </w:tc>
        <w:tc>
          <w:tcPr>
            <w:tcW w:w="2172" w:type="dxa"/>
            <w:vMerge/>
            <w:vAlign w:val="center"/>
          </w:tcPr>
          <w:p w14:paraId="00715C1E" w14:textId="77777777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17E79AA1" w14:textId="36434E2F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5D548D5B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16CCE0FC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CDFDCCB" w14:textId="3C827953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 w:val="restart"/>
            <w:vAlign w:val="center"/>
          </w:tcPr>
          <w:p w14:paraId="793E1196" w14:textId="4EF3B9ED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Describe the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general theories, methods, and tools for managing (a) time (b)</w:t>
            </w:r>
          </w:p>
          <w:p w14:paraId="5D359F27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resources, (c) cost and (d) information for enhanced decision- making in</w:t>
            </w:r>
          </w:p>
          <w:p w14:paraId="6D277827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engineering and business environments.</w:t>
            </w:r>
          </w:p>
          <w:p w14:paraId="432628E5" w14:textId="77309BED" w:rsidR="00FC6978" w:rsidRPr="0038398A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29FBA82B" w14:textId="233AEC53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Construction projects planning and scheduling - Bar-chart (Gantt chart) Planning Technique</w:t>
            </w:r>
          </w:p>
        </w:tc>
        <w:tc>
          <w:tcPr>
            <w:tcW w:w="2172" w:type="dxa"/>
            <w:vMerge/>
            <w:vAlign w:val="center"/>
          </w:tcPr>
          <w:p w14:paraId="366F3E55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64B70C02" w14:textId="0F27133C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FC6978" w:rsidRPr="00B80B61" w14:paraId="3EC1511E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0FBFB3BA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85EADFA" w14:textId="4DD98C28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73452DA1" w14:textId="49746B90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3FF46336" w14:textId="1E4490ED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Construction projects planning and scheduling - Network Scheduling – Critical Path Method</w:t>
            </w:r>
          </w:p>
        </w:tc>
        <w:tc>
          <w:tcPr>
            <w:tcW w:w="2172" w:type="dxa"/>
            <w:vMerge/>
            <w:vAlign w:val="center"/>
          </w:tcPr>
          <w:p w14:paraId="1D8EF3D9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102D8E85" w14:textId="69199E1D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FC6978" w:rsidRPr="00B80B61" w14:paraId="29CC5679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1951CCB5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27094D" w14:textId="6D95ED86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5E9CCF19" w14:textId="11F1D5F3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40C1E34D" w14:textId="06E2DEBB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Construction projects planning and scheduling - Program Evaluation &amp; </w:t>
            </w: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Review Technique</w:t>
            </w:r>
          </w:p>
        </w:tc>
        <w:tc>
          <w:tcPr>
            <w:tcW w:w="2172" w:type="dxa"/>
            <w:vMerge/>
            <w:vAlign w:val="center"/>
          </w:tcPr>
          <w:p w14:paraId="6939C60E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686FF30E" w14:textId="6C87DE5E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6F656C8C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1F1E3980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590994C" w14:textId="6D8D40D4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7755E27B" w14:textId="54640A68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34DE7BC6" w14:textId="7EFE5E6A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Construction projects planning and scheduling - Line of Balance Method</w:t>
            </w:r>
          </w:p>
        </w:tc>
        <w:tc>
          <w:tcPr>
            <w:tcW w:w="2172" w:type="dxa"/>
            <w:vMerge/>
            <w:vAlign w:val="center"/>
          </w:tcPr>
          <w:p w14:paraId="563F34C5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51D83B3D" w14:textId="6E3060C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0E1FB147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21022B73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B49A687" w14:textId="28EC877A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03867B63" w14:textId="77777777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59383FA2" w14:textId="5F100DDC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Resource allocation &amp; Analysis – Time Limitation method</w:t>
            </w:r>
          </w:p>
        </w:tc>
        <w:tc>
          <w:tcPr>
            <w:tcW w:w="2172" w:type="dxa"/>
            <w:vMerge/>
            <w:vAlign w:val="center"/>
          </w:tcPr>
          <w:p w14:paraId="5DEE0C4E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105B001A" w14:textId="180A25CD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6032D374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70E09D5F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40248A2" w14:textId="66AB8D6B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16A96A43" w14:textId="77777777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7C5E461B" w14:textId="6C7CEF24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Resource allocation &amp; Analysis – Resource Limitation method</w:t>
            </w:r>
          </w:p>
        </w:tc>
        <w:tc>
          <w:tcPr>
            <w:tcW w:w="2172" w:type="dxa"/>
            <w:vMerge/>
            <w:vAlign w:val="center"/>
          </w:tcPr>
          <w:p w14:paraId="47B47BBC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71FBB3EF" w14:textId="64188856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27FFAB2F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18E6FE42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0B4D9C7" w14:textId="39BCD016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 w:val="restart"/>
          </w:tcPr>
          <w:p w14:paraId="160955D5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Explain the principles and terminology of engineering economy, time value of</w:t>
            </w:r>
          </w:p>
          <w:p w14:paraId="7F2E88EB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money and element of cost</w:t>
            </w:r>
          </w:p>
          <w:p w14:paraId="37479695" w14:textId="4408E468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Apply the concepts, principles and techniques in engineering economy using</w:t>
            </w:r>
          </w:p>
          <w:p w14:paraId="5068ABAB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engineering economy factors (F/P, P/F, P/A, A/P, F/A, A/F, P/G, A/G factors)</w:t>
            </w:r>
          </w:p>
          <w:p w14:paraId="5A8E9B48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and interest rate.</w:t>
            </w:r>
          </w:p>
          <w:p w14:paraId="7EC916A1" w14:textId="55748975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Apply complex problems and scenario to compute equivalent amount for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cash flows, </w:t>
            </w: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depreciations, and economic studies</w:t>
            </w:r>
          </w:p>
          <w:p w14:paraId="03761EB2" w14:textId="2AD216AA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Evaluate alternatives using suitable methods such as Present Worth, Future</w:t>
            </w:r>
          </w:p>
          <w:p w14:paraId="65843E0C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Worth, Annual Worth Analysis, and Replacement Analysis for different</w:t>
            </w:r>
          </w:p>
          <w:p w14:paraId="1D4D32B8" w14:textId="77777777" w:rsidR="00FC6978" w:rsidRPr="00FC6978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project/investment opportunities to select the most beneficial by applying</w:t>
            </w:r>
          </w:p>
          <w:p w14:paraId="6513A326" w14:textId="4B2BB0E9" w:rsidR="00FC6978" w:rsidRPr="0038398A" w:rsidRDefault="00FC6978" w:rsidP="00FC697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C697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appropriate evaluation method</w:t>
            </w:r>
          </w:p>
        </w:tc>
        <w:tc>
          <w:tcPr>
            <w:tcW w:w="2120" w:type="dxa"/>
            <w:gridSpan w:val="2"/>
          </w:tcPr>
          <w:p w14:paraId="3D66CC63" w14:textId="428CE7E0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697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Introduction - Description and Role in Decision Making</w:t>
            </w:r>
          </w:p>
        </w:tc>
        <w:tc>
          <w:tcPr>
            <w:tcW w:w="2172" w:type="dxa"/>
            <w:vMerge/>
            <w:vAlign w:val="center"/>
          </w:tcPr>
          <w:p w14:paraId="2BBBB4CD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5B13F736" w14:textId="72EB73BC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0399D22F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1656F861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1834D99" w14:textId="3DBF7BED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4544AE70" w14:textId="23F97396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07E4FC42" w14:textId="77777777" w:rsidR="00FC6978" w:rsidRPr="00C9102C" w:rsidRDefault="00FC6978" w:rsidP="00C9102C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Interest Rate and Rate of Return, Cash Flows: Estimation and Diagramming, Simple and Compound</w:t>
            </w:r>
          </w:p>
          <w:p w14:paraId="76E4DFF1" w14:textId="76AE31C3" w:rsidR="00FC6978" w:rsidRPr="00B80B61" w:rsidRDefault="00FC6978" w:rsidP="00C9102C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Interest</w:t>
            </w:r>
          </w:p>
        </w:tc>
        <w:tc>
          <w:tcPr>
            <w:tcW w:w="2172" w:type="dxa"/>
            <w:vMerge/>
            <w:vAlign w:val="center"/>
          </w:tcPr>
          <w:p w14:paraId="457017E9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78522D1E" w14:textId="70DA2D3F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2FB4E0D1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3F211956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3D5BDEC" w14:textId="4694D1EC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69E40416" w14:textId="3A54E39B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6B7DBBD9" w14:textId="37EDF2BA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Theme="majorBidi" w:hAnsiTheme="majorBidi" w:cstheme="majorBidi"/>
                <w:sz w:val="30"/>
                <w:szCs w:val="30"/>
              </w:rPr>
              <w:t>The time value of money - Economic Equivalence</w:t>
            </w:r>
          </w:p>
        </w:tc>
        <w:tc>
          <w:tcPr>
            <w:tcW w:w="2172" w:type="dxa"/>
            <w:vMerge/>
            <w:vAlign w:val="center"/>
          </w:tcPr>
          <w:p w14:paraId="519C5756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75CF6078" w14:textId="08BA43B9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44506398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49218A44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6C23277" w14:textId="5B0A37AD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0316B7F5" w14:textId="1CA022F5" w:rsidR="00FC6978" w:rsidRPr="0038398A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199BD260" w14:textId="3A555FCB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Theme="majorBidi" w:hAnsiTheme="majorBidi" w:cstheme="majorBidi"/>
                <w:sz w:val="30"/>
                <w:szCs w:val="30"/>
              </w:rPr>
              <w:t>Equivalence , nominal and effective interest rate</w:t>
            </w:r>
          </w:p>
        </w:tc>
        <w:tc>
          <w:tcPr>
            <w:tcW w:w="2172" w:type="dxa"/>
            <w:vMerge/>
            <w:vAlign w:val="center"/>
          </w:tcPr>
          <w:p w14:paraId="09E27257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4F492655" w14:textId="555FCD8E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31B216A7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5B099A74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1A7744FC" w14:textId="4CD619D8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6C9E4026" w14:textId="77777777" w:rsidR="00FC6978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0E0FF263" w14:textId="6CF29213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Theme="majorBidi" w:hAnsiTheme="majorBidi" w:cstheme="majorBidi"/>
                <w:sz w:val="30"/>
                <w:szCs w:val="30"/>
              </w:rPr>
              <w:t>Uniform gradient series</w:t>
            </w:r>
          </w:p>
        </w:tc>
        <w:tc>
          <w:tcPr>
            <w:tcW w:w="2172" w:type="dxa"/>
            <w:vMerge/>
            <w:vAlign w:val="center"/>
          </w:tcPr>
          <w:p w14:paraId="14D267C1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66E31BE5" w14:textId="3BDAA634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0F2B79F6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181BE52E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0133C764" w14:textId="00B48BEB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3A750B37" w14:textId="77777777" w:rsidR="00FC6978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373C0630" w14:textId="5C81B2BB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Theme="majorBidi" w:hAnsiTheme="majorBidi" w:cstheme="majorBidi"/>
                <w:sz w:val="30"/>
                <w:szCs w:val="30"/>
              </w:rPr>
              <w:t>Deprecation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and </w:t>
            </w:r>
          </w:p>
        </w:tc>
        <w:tc>
          <w:tcPr>
            <w:tcW w:w="2172" w:type="dxa"/>
            <w:vMerge/>
            <w:vAlign w:val="center"/>
          </w:tcPr>
          <w:p w14:paraId="14C63023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12317A3F" w14:textId="45AE1374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FC6978" w:rsidRPr="00B80B61" w14:paraId="287DC229" w14:textId="77777777" w:rsidTr="00FC6978">
        <w:trPr>
          <w:trHeight w:val="171"/>
        </w:trPr>
        <w:tc>
          <w:tcPr>
            <w:tcW w:w="898" w:type="dxa"/>
            <w:vAlign w:val="center"/>
          </w:tcPr>
          <w:p w14:paraId="11F29941" w14:textId="77777777" w:rsidR="00FC6978" w:rsidRPr="00B80B61" w:rsidRDefault="00FC6978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2EDFFA6" w14:textId="248968D4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251" w:type="dxa"/>
            <w:gridSpan w:val="2"/>
            <w:vMerge/>
            <w:vAlign w:val="center"/>
          </w:tcPr>
          <w:p w14:paraId="1F753D27" w14:textId="77777777" w:rsidR="00FC6978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0" w:type="dxa"/>
            <w:gridSpan w:val="2"/>
          </w:tcPr>
          <w:p w14:paraId="6FB7BD55" w14:textId="7E6011C5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The basic methods for economic studies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and </w:t>
            </w:r>
            <w:r w:rsidRPr="00C9102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Compression between alternatives</w:t>
            </w:r>
          </w:p>
        </w:tc>
        <w:tc>
          <w:tcPr>
            <w:tcW w:w="2172" w:type="dxa"/>
            <w:vMerge/>
            <w:vAlign w:val="center"/>
          </w:tcPr>
          <w:p w14:paraId="76E7609C" w14:textId="77777777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0" w:type="dxa"/>
            <w:vAlign w:val="center"/>
          </w:tcPr>
          <w:p w14:paraId="25722EE5" w14:textId="578FD545" w:rsidR="00FC6978" w:rsidRPr="00B80B61" w:rsidRDefault="00FC6978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CA04EA" w:rsidRPr="00B80B61" w14:paraId="7735037C" w14:textId="77777777" w:rsidTr="00A11987">
        <w:tc>
          <w:tcPr>
            <w:tcW w:w="9781" w:type="dxa"/>
            <w:gridSpan w:val="9"/>
            <w:shd w:val="clear" w:color="auto" w:fill="DEEAF6"/>
          </w:tcPr>
          <w:p w14:paraId="59644842" w14:textId="77777777" w:rsidR="00CA04EA" w:rsidRPr="00B80B61" w:rsidRDefault="00CA04EA" w:rsidP="00CA04EA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A04EA" w:rsidRPr="00B80B61" w14:paraId="1CE317D4" w14:textId="77777777" w:rsidTr="00A11987">
        <w:tc>
          <w:tcPr>
            <w:tcW w:w="9781" w:type="dxa"/>
            <w:gridSpan w:val="9"/>
          </w:tcPr>
          <w:p w14:paraId="566A5931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Final Exam: 60%</w:t>
            </w:r>
          </w:p>
          <w:p w14:paraId="2EC6E58D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Monthly Exams: 15%</w:t>
            </w:r>
          </w:p>
          <w:p w14:paraId="795D03B6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Reports and Assignments: 10%</w:t>
            </w:r>
          </w:p>
          <w:p w14:paraId="075C1F89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Attendance and Daily Participation: 10%</w:t>
            </w:r>
          </w:p>
          <w:p w14:paraId="47D3A162" w14:textId="7DD8F5D6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Oral Evaluation: 5%</w:t>
            </w:r>
          </w:p>
        </w:tc>
      </w:tr>
      <w:tr w:rsidR="00CA04EA" w:rsidRPr="00B80B61" w14:paraId="12F4FF3C" w14:textId="77777777" w:rsidTr="00A11987">
        <w:tc>
          <w:tcPr>
            <w:tcW w:w="9781" w:type="dxa"/>
            <w:gridSpan w:val="9"/>
            <w:shd w:val="clear" w:color="auto" w:fill="DEEAF6"/>
          </w:tcPr>
          <w:p w14:paraId="4F15D0B8" w14:textId="77777777" w:rsidR="00CA04EA" w:rsidRPr="00B80B61" w:rsidRDefault="00CA04EA" w:rsidP="00CA04EA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A04EA" w:rsidRPr="00B80B61" w14:paraId="02BE89EB" w14:textId="77777777" w:rsidTr="00FC6978">
        <w:tc>
          <w:tcPr>
            <w:tcW w:w="5027" w:type="dxa"/>
            <w:gridSpan w:val="6"/>
          </w:tcPr>
          <w:p w14:paraId="5BF052D9" w14:textId="6FC804FD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754" w:type="dxa"/>
            <w:gridSpan w:val="3"/>
          </w:tcPr>
          <w:p w14:paraId="5A378A96" w14:textId="77777777" w:rsidR="00CA04EA" w:rsidRDefault="00FC6978" w:rsidP="00814759">
            <w:pPr>
              <w:pStyle w:val="ListParagraph"/>
              <w:numPr>
                <w:ilvl w:val="1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82" w:right="36" w:firstLine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814759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PROJECT PLANNING, SCHEDULING, AND CONTROL AHands-On Guide to Bringing Projects in on Time and on</w:t>
            </w:r>
            <w:r w:rsidR="00814759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C6978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Budget,4TH edition</w:t>
            </w:r>
          </w:p>
          <w:p w14:paraId="58AED07A" w14:textId="630B0B99" w:rsidR="00814759" w:rsidRPr="00814759" w:rsidRDefault="00814759" w:rsidP="00814759">
            <w:pPr>
              <w:pStyle w:val="ListParagraph"/>
              <w:numPr>
                <w:ilvl w:val="1"/>
                <w:numId w:val="5"/>
              </w:numPr>
              <w:ind w:left="82" w:firstLine="142"/>
              <w:jc w:val="both"/>
              <w:rPr>
                <w:rFonts w:cs="Times New Roman"/>
              </w:rPr>
            </w:pPr>
            <w:r>
              <w:rPr>
                <w:rStyle w:val="fontstyle01"/>
              </w:rPr>
              <w:t>ENGINEERING ECONOMY, Leland Blank , P. E., Anthony Tarquin , P. E.,7</w:t>
            </w:r>
            <w:r w:rsidRPr="00814759">
              <w:rPr>
                <w:rStyle w:val="fontstyle01"/>
                <w:sz w:val="14"/>
                <w:szCs w:val="14"/>
              </w:rPr>
              <w:t xml:space="preserve">TH </w:t>
            </w:r>
            <w:r>
              <w:rPr>
                <w:rStyle w:val="fontstyle01"/>
              </w:rPr>
              <w:t>EDITION</w:t>
            </w:r>
          </w:p>
          <w:p w14:paraId="2DA7358F" w14:textId="60989FCE" w:rsidR="00814759" w:rsidRPr="00814759" w:rsidRDefault="00814759" w:rsidP="00814759">
            <w:p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ind w:right="3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A04EA" w:rsidRPr="00B80B61" w14:paraId="26BA8198" w14:textId="77777777" w:rsidTr="00FC6978">
        <w:tc>
          <w:tcPr>
            <w:tcW w:w="5027" w:type="dxa"/>
            <w:gridSpan w:val="6"/>
          </w:tcPr>
          <w:p w14:paraId="62BD9D1D" w14:textId="77777777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754" w:type="dxa"/>
            <w:gridSpan w:val="3"/>
          </w:tcPr>
          <w:p w14:paraId="1F4149D7" w14:textId="62F5C71B" w:rsidR="00CA04EA" w:rsidRPr="004A458B" w:rsidRDefault="00814759" w:rsidP="0081475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475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Engineering Economics , R. Panneerselvam Professor School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81475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of Management Pondicherry University .</w:t>
            </w:r>
          </w:p>
        </w:tc>
      </w:tr>
      <w:tr w:rsidR="00CA04EA" w:rsidRPr="00B80B61" w14:paraId="733FF489" w14:textId="77777777" w:rsidTr="00FC6978">
        <w:tc>
          <w:tcPr>
            <w:tcW w:w="5027" w:type="dxa"/>
            <w:gridSpan w:val="6"/>
          </w:tcPr>
          <w:p w14:paraId="5C0A5871" w14:textId="77777777" w:rsidR="00CA04EA" w:rsidRPr="00B80B61" w:rsidRDefault="00CA04EA" w:rsidP="00CA04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54" w:type="dxa"/>
            <w:gridSpan w:val="3"/>
          </w:tcPr>
          <w:p w14:paraId="13EFD80C" w14:textId="77777777" w:rsidR="00CA04EA" w:rsidRPr="004A458B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A04EA" w:rsidRPr="00B80B61" w14:paraId="4C5639AD" w14:textId="77777777" w:rsidTr="00FC6978">
        <w:tc>
          <w:tcPr>
            <w:tcW w:w="5027" w:type="dxa"/>
            <w:gridSpan w:val="6"/>
          </w:tcPr>
          <w:p w14:paraId="7795241A" w14:textId="77777777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754" w:type="dxa"/>
            <w:gridSpan w:val="3"/>
          </w:tcPr>
          <w:p w14:paraId="2F96EEDC" w14:textId="77777777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F0E" w14:textId="77777777" w:rsidR="00CD1A32" w:rsidRDefault="00CD1A32">
      <w:r>
        <w:separator/>
      </w:r>
    </w:p>
  </w:endnote>
  <w:endnote w:type="continuationSeparator" w:id="0">
    <w:p w14:paraId="749F1714" w14:textId="77777777" w:rsidR="00CD1A32" w:rsidRDefault="00CD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E948" w14:textId="77777777" w:rsidR="00CD1A32" w:rsidRDefault="00CD1A32">
      <w:r>
        <w:separator/>
      </w:r>
    </w:p>
  </w:footnote>
  <w:footnote w:type="continuationSeparator" w:id="0">
    <w:p w14:paraId="3DEC8E84" w14:textId="77777777" w:rsidR="00CD1A32" w:rsidRDefault="00CD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43F9"/>
    <w:multiLevelType w:val="multilevel"/>
    <w:tmpl w:val="F88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E252B"/>
    <w:multiLevelType w:val="multilevel"/>
    <w:tmpl w:val="1F10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Times New Roman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8488B"/>
    <w:multiLevelType w:val="multilevel"/>
    <w:tmpl w:val="9A1E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129353574">
    <w:abstractNumId w:val="4"/>
  </w:num>
  <w:num w:numId="2" w16cid:durableId="299574061">
    <w:abstractNumId w:val="0"/>
  </w:num>
  <w:num w:numId="3" w16cid:durableId="292055756">
    <w:abstractNumId w:val="1"/>
  </w:num>
  <w:num w:numId="4" w16cid:durableId="341392727">
    <w:abstractNumId w:val="6"/>
  </w:num>
  <w:num w:numId="5" w16cid:durableId="1169635844">
    <w:abstractNumId w:val="3"/>
  </w:num>
  <w:num w:numId="6" w16cid:durableId="1480852015">
    <w:abstractNumId w:val="2"/>
  </w:num>
  <w:num w:numId="7" w16cid:durableId="8612369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2C1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96D3D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3688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1F008D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47A5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338"/>
    <w:rsid w:val="004361D7"/>
    <w:rsid w:val="004570B9"/>
    <w:rsid w:val="004662C5"/>
    <w:rsid w:val="0048407D"/>
    <w:rsid w:val="00485C21"/>
    <w:rsid w:val="00494454"/>
    <w:rsid w:val="004A458B"/>
    <w:rsid w:val="004A4634"/>
    <w:rsid w:val="004A6A6D"/>
    <w:rsid w:val="004A6CAF"/>
    <w:rsid w:val="004B783E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2DF1"/>
    <w:rsid w:val="005A48EF"/>
    <w:rsid w:val="005A7CB7"/>
    <w:rsid w:val="005C050F"/>
    <w:rsid w:val="005C6FC9"/>
    <w:rsid w:val="005C71D7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4259"/>
    <w:rsid w:val="00624699"/>
    <w:rsid w:val="00627034"/>
    <w:rsid w:val="006279D6"/>
    <w:rsid w:val="006315D0"/>
    <w:rsid w:val="00632FC3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C71AE"/>
    <w:rsid w:val="006D199E"/>
    <w:rsid w:val="006D2916"/>
    <w:rsid w:val="006D4F39"/>
    <w:rsid w:val="006D6630"/>
    <w:rsid w:val="006D7066"/>
    <w:rsid w:val="006E0C8C"/>
    <w:rsid w:val="007028BA"/>
    <w:rsid w:val="00703724"/>
    <w:rsid w:val="00704757"/>
    <w:rsid w:val="00706B3C"/>
    <w:rsid w:val="0074532D"/>
    <w:rsid w:val="00754522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4B3B"/>
    <w:rsid w:val="007B671C"/>
    <w:rsid w:val="007D4CFD"/>
    <w:rsid w:val="007E7D56"/>
    <w:rsid w:val="007F319C"/>
    <w:rsid w:val="007F4AC0"/>
    <w:rsid w:val="007F57BE"/>
    <w:rsid w:val="00807DE1"/>
    <w:rsid w:val="0081069C"/>
    <w:rsid w:val="00814759"/>
    <w:rsid w:val="00823E2A"/>
    <w:rsid w:val="00825543"/>
    <w:rsid w:val="00827988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78DA"/>
    <w:rsid w:val="00967B24"/>
    <w:rsid w:val="009732FB"/>
    <w:rsid w:val="0097591E"/>
    <w:rsid w:val="0098449B"/>
    <w:rsid w:val="0098755F"/>
    <w:rsid w:val="009A07B9"/>
    <w:rsid w:val="009B12A6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574F"/>
    <w:rsid w:val="009F774D"/>
    <w:rsid w:val="009F7BAF"/>
    <w:rsid w:val="00A01D17"/>
    <w:rsid w:val="00A04C7D"/>
    <w:rsid w:val="00A07775"/>
    <w:rsid w:val="00A11987"/>
    <w:rsid w:val="00A11A57"/>
    <w:rsid w:val="00A12DBC"/>
    <w:rsid w:val="00A15242"/>
    <w:rsid w:val="00A2126F"/>
    <w:rsid w:val="00A21460"/>
    <w:rsid w:val="00A30E4D"/>
    <w:rsid w:val="00A32E9F"/>
    <w:rsid w:val="00A41993"/>
    <w:rsid w:val="00A53B00"/>
    <w:rsid w:val="00A61B66"/>
    <w:rsid w:val="00A658DD"/>
    <w:rsid w:val="00A676A4"/>
    <w:rsid w:val="00A700BE"/>
    <w:rsid w:val="00A704BD"/>
    <w:rsid w:val="00A717B0"/>
    <w:rsid w:val="00A85288"/>
    <w:rsid w:val="00A92143"/>
    <w:rsid w:val="00A9546E"/>
    <w:rsid w:val="00AB24AB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41D"/>
    <w:rsid w:val="00B757D7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C04FB8"/>
    <w:rsid w:val="00C15772"/>
    <w:rsid w:val="00C167F6"/>
    <w:rsid w:val="00C16DCB"/>
    <w:rsid w:val="00C20426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102C"/>
    <w:rsid w:val="00C958F4"/>
    <w:rsid w:val="00CA04EA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1A3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38F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E71C1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6978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  <w:style w:type="character" w:customStyle="1" w:styleId="fontstyle01">
    <w:name w:val="fontstyle01"/>
    <w:basedOn w:val="DefaultParagraphFont"/>
    <w:rsid w:val="00CA04EA"/>
    <w:rPr>
      <w:rFonts w:ascii="CIDFont+F1" w:hAnsi="CIDFont+F1" w:hint="default"/>
      <w:b w:val="0"/>
      <w:bCs w:val="0"/>
      <w:i w:val="0"/>
      <w:iCs w:val="0"/>
      <w:color w:val="1C1D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4</cp:revision>
  <cp:lastPrinted>2025-12-06T19:16:00Z</cp:lastPrinted>
  <dcterms:created xsi:type="dcterms:W3CDTF">2025-12-06T19:59:00Z</dcterms:created>
  <dcterms:modified xsi:type="dcterms:W3CDTF">2025-12-08T10:11:00Z</dcterms:modified>
</cp:coreProperties>
</file>