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370"/>
        <w:gridCol w:w="100"/>
        <w:gridCol w:w="3066"/>
        <w:gridCol w:w="1188"/>
        <w:gridCol w:w="1398"/>
        <w:gridCol w:w="16"/>
      </w:tblGrid>
      <w:tr w:rsidR="00C36E64" w:rsidRPr="00B80B61" w:rsidTr="002142A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2142A9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auto"/>
          </w:tcPr>
          <w:p w:rsidR="00C36E64" w:rsidRPr="002B253B" w:rsidRDefault="007535DC" w:rsidP="002142A9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Victorian</w:t>
            </w:r>
            <w:r w:rsidR="006332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 Age</w:t>
            </w: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 Novel</w:t>
            </w:r>
            <w:r w:rsidR="006332B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2142A9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auto"/>
            <w:vAlign w:val="center"/>
          </w:tcPr>
          <w:p w:rsidR="00C36E64" w:rsidRPr="00B80B61" w:rsidRDefault="006332B1" w:rsidP="002142A9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ENG30003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2142A9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auto"/>
          </w:tcPr>
          <w:p w:rsidR="00C36E64" w:rsidRPr="002B253B" w:rsidRDefault="007535DC" w:rsidP="002142A9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Year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2142A9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auto"/>
          </w:tcPr>
          <w:p w:rsidR="00C36E64" w:rsidRPr="002B253B" w:rsidRDefault="007535DC" w:rsidP="002142A9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17-11-2025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2142A9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auto"/>
          </w:tcPr>
          <w:p w:rsidR="00C36E64" w:rsidRPr="002B253B" w:rsidRDefault="007535DC" w:rsidP="002142A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Class Attendance &amp; via Electronic Channels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2142A9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auto"/>
          </w:tcPr>
          <w:p w:rsidR="00C36E64" w:rsidRPr="00B80B61" w:rsidRDefault="00161A3D" w:rsidP="002142A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90 Credit</w:t>
            </w:r>
            <w:r w:rsidR="003351C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s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         150</w:t>
            </w:r>
            <w:r w:rsidR="007535D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Unit</w:t>
            </w:r>
            <w:r w:rsidR="003351C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s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DEEAF6"/>
          </w:tcPr>
          <w:p w:rsidR="00C36E64" w:rsidRPr="00B02F18" w:rsidRDefault="00C36E64" w:rsidP="002142A9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auto"/>
          </w:tcPr>
          <w:p w:rsidR="00C36E64" w:rsidRPr="00B80B61" w:rsidRDefault="007535DC" w:rsidP="002142A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Lecturer, Hussein Ali Abbas, Ph.D.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2142A9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:rsidTr="002142A9">
        <w:tc>
          <w:tcPr>
            <w:tcW w:w="1413" w:type="dxa"/>
            <w:shd w:val="clear" w:color="auto" w:fill="auto"/>
          </w:tcPr>
          <w:p w:rsidR="00C36E64" w:rsidRDefault="00C36E64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:rsidR="00C36E64" w:rsidRPr="00B80B61" w:rsidRDefault="00C36E64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:rsidR="00C36E64" w:rsidRPr="006332B1" w:rsidRDefault="00EF6286" w:rsidP="002142A9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ar-IQ"/>
              </w:rPr>
            </w:pPr>
            <w:r w:rsidRPr="006332B1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ar-IQ"/>
              </w:rPr>
              <w:t>-</w:t>
            </w:r>
            <w:r w:rsidR="004B6640" w:rsidRPr="006332B1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ar-IQ"/>
              </w:rPr>
              <w:t>Keeping students in touch with Victorian Age</w:t>
            </w:r>
            <w:r w:rsidR="001E499B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ar-IQ"/>
              </w:rPr>
              <w:t xml:space="preserve"> novels</w:t>
            </w:r>
            <w:r w:rsidR="004B6640" w:rsidRPr="006332B1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ar-IQ"/>
              </w:rPr>
              <w:t>.</w:t>
            </w:r>
          </w:p>
          <w:p w:rsidR="004B6640" w:rsidRPr="00D25BCD" w:rsidRDefault="004B6640" w:rsidP="002142A9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6332B1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ar-IQ"/>
              </w:rPr>
              <w:t>-Identifyin</w:t>
            </w:r>
            <w:r w:rsidR="001E499B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ar-IQ"/>
              </w:rPr>
              <w:t>g the effect of social changes o</w:t>
            </w:r>
            <w:r w:rsidRPr="006332B1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bidi="ar-IQ"/>
              </w:rPr>
              <w:t>n literary writings</w:t>
            </w: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.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2142A9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:rsidTr="002142A9">
        <w:tc>
          <w:tcPr>
            <w:tcW w:w="1413" w:type="dxa"/>
            <w:shd w:val="clear" w:color="auto" w:fill="auto"/>
          </w:tcPr>
          <w:p w:rsidR="00C36E64" w:rsidRPr="00B80B61" w:rsidRDefault="00C36E64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</w:tcPr>
          <w:p w:rsidR="00C36E64" w:rsidRPr="003D0D54" w:rsidRDefault="007A754D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Reading the texts and examining the relevant thematic ideas. 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2142A9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:rsidTr="002142A9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:rsidR="00C36E64" w:rsidRPr="00897803" w:rsidRDefault="00C36E64" w:rsidP="002142A9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992" w:type="dxa"/>
            <w:shd w:val="clear" w:color="auto" w:fill="BDD6EE"/>
          </w:tcPr>
          <w:p w:rsidR="00C36E64" w:rsidRPr="00897803" w:rsidRDefault="00C36E64" w:rsidP="002142A9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:rsidR="00C36E64" w:rsidRPr="00897803" w:rsidRDefault="00C36E64" w:rsidP="002142A9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:rsidR="00C36E64" w:rsidRPr="00897803" w:rsidRDefault="00C36E64" w:rsidP="002142A9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:rsidR="00C36E64" w:rsidRPr="00897803" w:rsidRDefault="00C36E64" w:rsidP="002142A9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:rsidR="00C36E64" w:rsidRPr="00897803" w:rsidRDefault="00C36E64" w:rsidP="002142A9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Pr="00B80B61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A26C33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36E64" w:rsidRPr="00A10D99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Victorian </w:t>
            </w:r>
            <w:r w:rsidR="00251F9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Literature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Introduction to Victorian Writing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36E64" w:rsidRPr="00A10D99" w:rsidRDefault="00251F95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:rsidR="000D0AA4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Wuthering Heights, Chapter</w:t>
            </w:r>
            <w:r w:rsidR="000D0AA4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</w:t>
            </w:r>
          </w:p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1-4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36E64" w:rsidRPr="00A10D99" w:rsidRDefault="00251F95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Chapters 5-8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36E64" w:rsidRPr="00A10D99" w:rsidRDefault="00251F95" w:rsidP="000D0AA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Victorian </w:t>
            </w:r>
            <w:r w:rsidR="000D0AA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Rural Traditions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Chapters 9-12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3A15AD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36E64" w:rsidRPr="00A10D99" w:rsidRDefault="00251F95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Chapters 13-16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10D99" w:rsidRPr="00A10D99" w:rsidRDefault="00251F95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Chapters 17-19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36E64" w:rsidRPr="00A10D99" w:rsidRDefault="00251F95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Chapters 20-22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D0AA4" w:rsidRDefault="00251F95" w:rsidP="000D0AA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="000D0AA4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Inheritance </w:t>
            </w:r>
          </w:p>
          <w:p w:rsidR="00C36E64" w:rsidRPr="00A10D99" w:rsidRDefault="000D0AA4" w:rsidP="000D0AA4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Problem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Chapters 23-25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36E64" w:rsidRPr="00A10D99" w:rsidRDefault="000D0AA4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</w:t>
            </w:r>
            <w:r w:rsidRPr="000D0AA4">
              <w:rPr>
                <w:rFonts w:ascii="Cambria" w:eastAsia="Calibri" w:hAnsi="Cambria" w:cs="Times New Roman"/>
                <w:color w:val="000000"/>
                <w:sz w:val="24"/>
                <w:szCs w:val="24"/>
                <w:vertAlign w:val="superscript"/>
                <w:lang w:bidi="ar-IQ"/>
              </w:rPr>
              <w:t>st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. Written Exam.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36E64" w:rsidRPr="00A10D99" w:rsidRDefault="00251F95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Victorian 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>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Chapters 26-28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36E64" w:rsidRPr="00A10D99" w:rsidRDefault="00251F95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CHAPTERS 29-31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:rsidR="00C36E64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36E64" w:rsidRPr="00F24D12" w:rsidRDefault="00251F95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Chapters 32-33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center"/>
          </w:tcPr>
          <w:p w:rsidR="00C36E64" w:rsidRDefault="002142A9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F24D12" w:rsidRPr="00F24D12" w:rsidRDefault="00251F95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 34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  <w:vAlign w:val="center"/>
          </w:tcPr>
          <w:p w:rsidR="00C36E64" w:rsidRDefault="002142A9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F24D12" w:rsidRPr="00F24D12" w:rsidRDefault="00251F95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Overall analysis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251F9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7A754D">
        <w:trPr>
          <w:gridAfter w:val="1"/>
          <w:wAfter w:w="16" w:type="dxa"/>
          <w:trHeight w:val="390"/>
        </w:trPr>
        <w:tc>
          <w:tcPr>
            <w:tcW w:w="1413" w:type="dxa"/>
            <w:shd w:val="clear" w:color="auto" w:fill="auto"/>
            <w:vAlign w:val="center"/>
          </w:tcPr>
          <w:p w:rsidR="002142A9" w:rsidRDefault="002142A9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E64" w:rsidRPr="00B80B61" w:rsidRDefault="007A754D" w:rsidP="007A754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C36E64" w:rsidRPr="00F24D12" w:rsidRDefault="000D0AA4" w:rsidP="007A75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</w:t>
            </w:r>
            <w:r w:rsidRPr="000D0AA4">
              <w:rPr>
                <w:rFonts w:ascii="Cambria" w:eastAsia="Calibri" w:hAnsi="Cambria" w:cs="Times New Roman"/>
                <w:color w:val="000000"/>
                <w:sz w:val="24"/>
                <w:szCs w:val="24"/>
                <w:vertAlign w:val="superscript"/>
                <w:lang w:bidi="ar-IQ"/>
              </w:rPr>
              <w:t>nd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Written Text</w:t>
            </w:r>
          </w:p>
        </w:tc>
        <w:tc>
          <w:tcPr>
            <w:tcW w:w="1188" w:type="dxa"/>
            <w:shd w:val="clear" w:color="auto" w:fill="auto"/>
          </w:tcPr>
          <w:p w:rsidR="00C36E64" w:rsidRPr="00B80B61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:rsidR="00C36E64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</w:tr>
      <w:tr w:rsidR="002142A9" w:rsidRPr="00B80B61" w:rsidTr="002142A9">
        <w:trPr>
          <w:gridAfter w:val="1"/>
          <w:wAfter w:w="16" w:type="dxa"/>
          <w:trHeight w:val="270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142A9" w:rsidRPr="00B80B61" w:rsidRDefault="001E499B" w:rsidP="001E499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Industrial Revolution View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Hard Times</w:t>
            </w:r>
            <w:r w:rsidR="00FF06B0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, The Effects of Industrial Revolution on Literature.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FF06B0">
        <w:trPr>
          <w:gridAfter w:val="1"/>
          <w:wAfter w:w="16" w:type="dxa"/>
          <w:trHeight w:val="375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FF06B0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FF06B0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Hard Times, Part One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Power-Point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FF06B0">
        <w:trPr>
          <w:gridAfter w:val="1"/>
          <w:wAfter w:w="16" w:type="dxa"/>
          <w:trHeight w:val="312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FF06B0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BE65CC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Chapters I-III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FF06B0">
        <w:trPr>
          <w:gridAfter w:val="1"/>
          <w:wAfter w:w="16" w:type="dxa"/>
          <w:trHeight w:val="330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FF06B0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BE65CC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Chapters I V-VI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FF06B0">
        <w:trPr>
          <w:gridAfter w:val="1"/>
          <w:wAfter w:w="16" w:type="dxa"/>
          <w:trHeight w:val="405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FF06B0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BE65CC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Chapters VII-IX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FF06B0">
        <w:trPr>
          <w:gridAfter w:val="1"/>
          <w:wAfter w:w="16" w:type="dxa"/>
          <w:trHeight w:val="300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FF06B0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BE65CC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Chapters X-XIII</w:t>
            </w:r>
          </w:p>
        </w:tc>
        <w:tc>
          <w:tcPr>
            <w:tcW w:w="1188" w:type="dxa"/>
            <w:shd w:val="clear" w:color="auto" w:fill="auto"/>
          </w:tcPr>
          <w:p w:rsidR="005D0D55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Power</w:t>
            </w:r>
          </w:p>
          <w:p w:rsidR="002142A9" w:rsidRPr="00B80B61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Point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FF06B0">
        <w:trPr>
          <w:gridAfter w:val="1"/>
          <w:wAfter w:w="16" w:type="dxa"/>
          <w:trHeight w:val="405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FF06B0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BE65CC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Written Exam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FF06B0">
        <w:trPr>
          <w:gridAfter w:val="1"/>
          <w:wAfter w:w="16" w:type="dxa"/>
          <w:trHeight w:val="405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FF06B0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BE65CC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XIV-XVI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0D0AA4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FF06B0">
        <w:trPr>
          <w:gridAfter w:val="1"/>
          <w:wAfter w:w="16" w:type="dxa"/>
          <w:trHeight w:val="375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FF06B0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CD6183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1</w:t>
            </w:r>
            <w:r w:rsidRPr="00CD6183">
              <w:rPr>
                <w:rFonts w:ascii="Cambria" w:eastAsia="Calibri" w:hAnsi="Cambria" w:cs="Times New Roman"/>
                <w:color w:val="000000"/>
                <w:sz w:val="24"/>
                <w:szCs w:val="24"/>
                <w:vertAlign w:val="superscript"/>
                <w:lang w:bidi="ar-IQ"/>
              </w:rPr>
              <w:t>st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Written Exam.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FF06B0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FF06B0">
        <w:trPr>
          <w:gridAfter w:val="1"/>
          <w:wAfter w:w="16" w:type="dxa"/>
          <w:trHeight w:val="315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FF06B0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CD6183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Part Two, Chapters </w:t>
            </w:r>
            <w:r w:rsidR="00BE65CC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I-IV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FF06B0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FF06B0">
        <w:trPr>
          <w:gridAfter w:val="1"/>
          <w:wAfter w:w="16" w:type="dxa"/>
          <w:trHeight w:val="327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FF06B0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CD6183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Chapters </w:t>
            </w:r>
            <w:r w:rsidR="00BE65CC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V-VIII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FF06B0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FF06B0">
        <w:trPr>
          <w:gridAfter w:val="1"/>
          <w:wAfter w:w="16" w:type="dxa"/>
          <w:trHeight w:val="225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FF06B0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CD6183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Chapters </w:t>
            </w:r>
            <w:r w:rsidR="00BE65CC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IX-X</w:t>
            </w:r>
            <w:r w:rsidR="006459FC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II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FF06B0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FF06B0">
        <w:trPr>
          <w:gridAfter w:val="1"/>
          <w:wAfter w:w="16" w:type="dxa"/>
          <w:trHeight w:val="345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CD6183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  <w:r w:rsidR="006459F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6459FC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</w:t>
            </w:r>
            <w:r w:rsidRPr="006459FC">
              <w:rPr>
                <w:rFonts w:ascii="Cambria" w:eastAsia="Calibri" w:hAnsi="Cambria" w:cs="Times New Roman"/>
                <w:color w:val="000000"/>
                <w:sz w:val="24"/>
                <w:szCs w:val="24"/>
                <w:vertAlign w:val="superscript"/>
                <w:lang w:bidi="ar-IQ"/>
              </w:rPr>
              <w:t>nd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Written Text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6459FC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142A9" w:rsidRPr="00B80B61" w:rsidTr="00FF06B0">
        <w:trPr>
          <w:gridAfter w:val="1"/>
          <w:wAfter w:w="16" w:type="dxa"/>
          <w:trHeight w:val="315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142A9" w:rsidRPr="00B80B61" w:rsidRDefault="00FF06B0" w:rsidP="00FF06B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Victorian Literature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6459FC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Part Three, I-V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FF06B0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2142A9" w:rsidRPr="00B80B61" w:rsidTr="002142A9">
        <w:trPr>
          <w:gridAfter w:val="1"/>
          <w:wAfter w:w="16" w:type="dxa"/>
          <w:trHeight w:val="285"/>
        </w:trPr>
        <w:tc>
          <w:tcPr>
            <w:tcW w:w="1413" w:type="dxa"/>
            <w:shd w:val="clear" w:color="auto" w:fill="auto"/>
          </w:tcPr>
          <w:p w:rsidR="002142A9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2142A9" w:rsidRPr="00B80B61" w:rsidRDefault="005D0D55" w:rsidP="001E499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2142A9" w:rsidRPr="00F24D12" w:rsidRDefault="002142A9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:rsidR="002142A9" w:rsidRPr="00A10D99" w:rsidRDefault="00897AD3" w:rsidP="002142A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Chapter </w:t>
            </w:r>
            <w:r w:rsidR="006459FC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VI-IX</w:t>
            </w:r>
          </w:p>
        </w:tc>
        <w:tc>
          <w:tcPr>
            <w:tcW w:w="1188" w:type="dxa"/>
            <w:shd w:val="clear" w:color="auto" w:fill="auto"/>
          </w:tcPr>
          <w:p w:rsidR="002142A9" w:rsidRPr="00B80B61" w:rsidRDefault="00FF06B0" w:rsidP="002142A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Lecture</w:t>
            </w:r>
          </w:p>
        </w:tc>
        <w:tc>
          <w:tcPr>
            <w:tcW w:w="1398" w:type="dxa"/>
            <w:shd w:val="clear" w:color="auto" w:fill="auto"/>
          </w:tcPr>
          <w:p w:rsidR="002142A9" w:rsidRPr="00A10D99" w:rsidRDefault="005D0D55" w:rsidP="002142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2142A9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auto"/>
          </w:tcPr>
          <w:p w:rsidR="00C36E64" w:rsidRDefault="00193771" w:rsidP="002142A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-In-class Oral Discussion.</w:t>
            </w:r>
          </w:p>
          <w:p w:rsidR="00193771" w:rsidRPr="00662911" w:rsidRDefault="00193771" w:rsidP="002142A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-Written Exam.</w:t>
            </w:r>
          </w:p>
        </w:tc>
      </w:tr>
      <w:tr w:rsidR="00C36E64" w:rsidRPr="00B80B61" w:rsidTr="002142A9">
        <w:tc>
          <w:tcPr>
            <w:tcW w:w="9543" w:type="dxa"/>
            <w:gridSpan w:val="8"/>
            <w:shd w:val="clear" w:color="auto" w:fill="DEEAF6"/>
          </w:tcPr>
          <w:p w:rsidR="00C36E64" w:rsidRPr="00B80B61" w:rsidRDefault="00C36E64" w:rsidP="002142A9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:rsidTr="002142A9">
        <w:tc>
          <w:tcPr>
            <w:tcW w:w="3875" w:type="dxa"/>
            <w:gridSpan w:val="4"/>
            <w:shd w:val="clear" w:color="auto" w:fill="auto"/>
          </w:tcPr>
          <w:p w:rsidR="00C36E64" w:rsidRPr="00B80B61" w:rsidRDefault="00C36E64" w:rsidP="002142A9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:rsidR="00C36E64" w:rsidRDefault="00F83DC1" w:rsidP="00F83DC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 Wuthering Heights By Emily Bronte.</w:t>
            </w:r>
          </w:p>
          <w:p w:rsidR="00F83DC1" w:rsidRPr="00B80B61" w:rsidRDefault="00F83DC1" w:rsidP="00F83DC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-Hard Times by Charles Dickens.</w:t>
            </w:r>
          </w:p>
        </w:tc>
      </w:tr>
      <w:tr w:rsidR="00C36E64" w:rsidRPr="00B80B61" w:rsidTr="002142A9">
        <w:tc>
          <w:tcPr>
            <w:tcW w:w="3875" w:type="dxa"/>
            <w:gridSpan w:val="4"/>
            <w:shd w:val="clear" w:color="auto" w:fill="auto"/>
          </w:tcPr>
          <w:p w:rsidR="00C36E64" w:rsidRPr="00B80B61" w:rsidRDefault="00C36E64" w:rsidP="002142A9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:rsidR="00C36E64" w:rsidRPr="0052336E" w:rsidRDefault="005D0D55" w:rsidP="002142A9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lang w:bidi="ar-IQ"/>
              </w:rPr>
              <w:t xml:space="preserve">A Collection of </w:t>
            </w:r>
            <w:r w:rsidR="003351CD">
              <w:rPr>
                <w:rFonts w:cs="Times New Roman"/>
                <w:sz w:val="28"/>
                <w:szCs w:val="28"/>
                <w:lang w:bidi="ar-IQ"/>
              </w:rPr>
              <w:t xml:space="preserve">research </w:t>
            </w:r>
            <w:r w:rsidR="003237C5">
              <w:rPr>
                <w:rFonts w:cs="Times New Roman"/>
                <w:sz w:val="28"/>
                <w:szCs w:val="28"/>
                <w:lang w:bidi="ar-IQ"/>
              </w:rPr>
              <w:t>p</w:t>
            </w:r>
            <w:r>
              <w:rPr>
                <w:rFonts w:cs="Times New Roman"/>
                <w:sz w:val="28"/>
                <w:szCs w:val="28"/>
                <w:lang w:bidi="ar-IQ"/>
              </w:rPr>
              <w:t xml:space="preserve">apers published in </w:t>
            </w:r>
            <w:r>
              <w:rPr>
                <w:rFonts w:cs="Times New Roman"/>
                <w:sz w:val="28"/>
                <w:szCs w:val="28"/>
                <w:lang w:bidi="ar-IQ"/>
              </w:rPr>
              <w:lastRenderedPageBreak/>
              <w:t>Journal.</w:t>
            </w:r>
          </w:p>
        </w:tc>
      </w:tr>
      <w:tr w:rsidR="00C36E64" w:rsidRPr="00B80B61" w:rsidTr="002142A9">
        <w:tc>
          <w:tcPr>
            <w:tcW w:w="3875" w:type="dxa"/>
            <w:gridSpan w:val="4"/>
            <w:shd w:val="clear" w:color="auto" w:fill="auto"/>
          </w:tcPr>
          <w:p w:rsidR="00C36E64" w:rsidRPr="00B80B61" w:rsidRDefault="00C36E64" w:rsidP="002142A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:rsidR="00C36E64" w:rsidRPr="00B80B61" w:rsidRDefault="00F83DC1" w:rsidP="002142A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Some Collections</w:t>
            </w:r>
            <w:r w:rsidR="003351C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of books and journals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.</w:t>
            </w:r>
          </w:p>
        </w:tc>
      </w:tr>
      <w:tr w:rsidR="00C36E64" w:rsidRPr="00B80B61" w:rsidTr="002142A9">
        <w:tc>
          <w:tcPr>
            <w:tcW w:w="3875" w:type="dxa"/>
            <w:gridSpan w:val="4"/>
            <w:shd w:val="clear" w:color="auto" w:fill="auto"/>
          </w:tcPr>
          <w:p w:rsidR="00C36E64" w:rsidRPr="00B80B61" w:rsidRDefault="00C36E64" w:rsidP="002142A9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:rsidR="00C36E64" w:rsidRPr="00B80B61" w:rsidRDefault="00C36E64" w:rsidP="002142A9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:rsid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:rsidR="00F83DC1" w:rsidRDefault="00F83DC1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lang w:bidi="ar-IQ"/>
        </w:rPr>
      </w:pPr>
    </w:p>
    <w:p w:rsidR="00F83DC1" w:rsidRPr="005F6933" w:rsidRDefault="00897AD3" w:rsidP="005F6933">
      <w:pPr>
        <w:shd w:val="clear" w:color="auto" w:fill="FFFFFF"/>
        <w:autoSpaceDE w:val="0"/>
        <w:autoSpaceDN w:val="0"/>
        <w:adjustRightInd w:val="0"/>
        <w:spacing w:after="200" w:line="480" w:lineRule="auto"/>
        <w:jc w:val="both"/>
        <w:rPr>
          <w:rFonts w:ascii="Arial" w:hAnsi="Arial" w:cs="Arial"/>
          <w:sz w:val="28"/>
          <w:szCs w:val="28"/>
          <w:rtl/>
          <w:lang w:bidi="ar-IQ"/>
        </w:rPr>
      </w:pPr>
      <w:r>
        <w:rPr>
          <w:rFonts w:cs="Times New Roman"/>
          <w:sz w:val="32"/>
          <w:szCs w:val="32"/>
          <w:lang w:bidi="ar-IQ"/>
        </w:rPr>
        <w:t>This course includes two novels,</w:t>
      </w:r>
      <w:r w:rsidR="005F6933" w:rsidRPr="005F6933">
        <w:rPr>
          <w:rFonts w:cs="Times New Roman"/>
          <w:sz w:val="32"/>
          <w:szCs w:val="32"/>
          <w:lang w:bidi="ar-IQ"/>
        </w:rPr>
        <w:t xml:space="preserve"> </w:t>
      </w:r>
      <w:r w:rsidR="005F6933" w:rsidRPr="005F6933">
        <w:rPr>
          <w:rFonts w:cs="Times New Roman"/>
          <w:sz w:val="32"/>
          <w:szCs w:val="32"/>
          <w:u w:val="single"/>
          <w:lang w:bidi="ar-IQ"/>
        </w:rPr>
        <w:t>Wuthering Heights</w:t>
      </w:r>
      <w:r w:rsidR="005F6933" w:rsidRPr="005F6933">
        <w:rPr>
          <w:rFonts w:cs="Times New Roman"/>
          <w:sz w:val="32"/>
          <w:szCs w:val="32"/>
          <w:lang w:bidi="ar-IQ"/>
        </w:rPr>
        <w:t xml:space="preserve"> and </w:t>
      </w:r>
      <w:r w:rsidR="005F6933" w:rsidRPr="005F6933">
        <w:rPr>
          <w:rFonts w:cs="Times New Roman"/>
          <w:sz w:val="32"/>
          <w:szCs w:val="32"/>
          <w:u w:val="single"/>
          <w:lang w:bidi="ar-IQ"/>
        </w:rPr>
        <w:t>Hard Times</w:t>
      </w:r>
      <w:r w:rsidR="005F6933">
        <w:rPr>
          <w:rFonts w:cs="Times New Roman"/>
          <w:sz w:val="32"/>
          <w:szCs w:val="32"/>
          <w:lang w:bidi="ar-IQ"/>
        </w:rPr>
        <w:t xml:space="preserve"> by Emily Bronte and Charles Dickens</w:t>
      </w:r>
      <w:r>
        <w:rPr>
          <w:rFonts w:cs="Times New Roman"/>
          <w:sz w:val="32"/>
          <w:szCs w:val="32"/>
          <w:lang w:bidi="ar-IQ"/>
        </w:rPr>
        <w:t xml:space="preserve"> respectively. They</w:t>
      </w:r>
      <w:r w:rsidR="005F6933">
        <w:rPr>
          <w:rFonts w:cs="Times New Roman"/>
          <w:sz w:val="32"/>
          <w:szCs w:val="32"/>
          <w:lang w:bidi="ar-IQ"/>
        </w:rPr>
        <w:t xml:space="preserve"> </w:t>
      </w:r>
      <w:r w:rsidR="006332B1">
        <w:rPr>
          <w:rFonts w:cs="Times New Roman"/>
          <w:sz w:val="32"/>
          <w:szCs w:val="32"/>
          <w:lang w:bidi="ar-IQ"/>
        </w:rPr>
        <w:t>are</w:t>
      </w:r>
      <w:r w:rsidR="005F6933">
        <w:rPr>
          <w:rFonts w:cs="Times New Roman"/>
          <w:sz w:val="32"/>
          <w:szCs w:val="32"/>
          <w:lang w:bidi="ar-IQ"/>
        </w:rPr>
        <w:t xml:space="preserve"> </w:t>
      </w:r>
      <w:r w:rsidR="005F6933" w:rsidRPr="005F6933">
        <w:rPr>
          <w:rFonts w:cs="Times New Roman"/>
          <w:sz w:val="32"/>
          <w:szCs w:val="32"/>
          <w:lang w:bidi="ar-IQ"/>
        </w:rPr>
        <w:t xml:space="preserve">considered as Victorian Novels. The first was written </w:t>
      </w:r>
      <w:r w:rsidR="002F617B">
        <w:rPr>
          <w:rFonts w:cs="Times New Roman"/>
          <w:sz w:val="32"/>
          <w:szCs w:val="32"/>
          <w:lang w:bidi="ar-IQ"/>
        </w:rPr>
        <w:t xml:space="preserve">in </w:t>
      </w:r>
      <w:r w:rsidR="005F6933" w:rsidRPr="005F6933">
        <w:rPr>
          <w:rFonts w:cs="Times New Roman"/>
          <w:sz w:val="32"/>
          <w:szCs w:val="32"/>
          <w:lang w:bidi="ar-IQ"/>
        </w:rPr>
        <w:t>1847during the Victorian era. The second addresses</w:t>
      </w:r>
      <w:r w:rsidR="00F83DC1" w:rsidRPr="005F6933">
        <w:rPr>
          <w:rFonts w:cs="Times New Roman"/>
          <w:sz w:val="32"/>
          <w:szCs w:val="32"/>
          <w:lang w:bidi="ar-IQ"/>
        </w:rPr>
        <w:t xml:space="preserve"> the changes that have been</w:t>
      </w:r>
      <w:r w:rsidR="005F6933" w:rsidRPr="005F6933">
        <w:rPr>
          <w:rFonts w:cs="Times New Roman"/>
          <w:sz w:val="32"/>
          <w:szCs w:val="32"/>
          <w:lang w:bidi="ar-IQ"/>
        </w:rPr>
        <w:t xml:space="preserve"> introduced</w:t>
      </w:r>
      <w:r w:rsidR="00F83DC1" w:rsidRPr="005F6933">
        <w:rPr>
          <w:rFonts w:cs="Times New Roman"/>
          <w:sz w:val="32"/>
          <w:szCs w:val="32"/>
          <w:lang w:bidi="ar-IQ"/>
        </w:rPr>
        <w:t xml:space="preserve"> </w:t>
      </w:r>
      <w:r w:rsidR="005F6933" w:rsidRPr="005F6933">
        <w:rPr>
          <w:rFonts w:cs="Times New Roman"/>
          <w:sz w:val="32"/>
          <w:szCs w:val="32"/>
          <w:lang w:bidi="ar-IQ"/>
        </w:rPr>
        <w:t xml:space="preserve">to the English Society </w:t>
      </w:r>
      <w:r w:rsidR="00F83DC1" w:rsidRPr="005F6933">
        <w:rPr>
          <w:rFonts w:cs="Times New Roman"/>
          <w:sz w:val="32"/>
          <w:szCs w:val="32"/>
          <w:lang w:bidi="ar-IQ"/>
        </w:rPr>
        <w:t>by the Industrial</w:t>
      </w:r>
      <w:r w:rsidR="005F6933" w:rsidRPr="005F6933">
        <w:rPr>
          <w:rFonts w:cs="Times New Roman"/>
          <w:sz w:val="32"/>
          <w:szCs w:val="32"/>
          <w:lang w:bidi="ar-IQ"/>
        </w:rPr>
        <w:t xml:space="preserve"> Revolution. Both reflects the pains</w:t>
      </w:r>
      <w:r w:rsidR="005F6933">
        <w:rPr>
          <w:rFonts w:cs="Times New Roman"/>
          <w:sz w:val="32"/>
          <w:szCs w:val="32"/>
          <w:lang w:bidi="ar-IQ"/>
        </w:rPr>
        <w:t xml:space="preserve"> that English people have </w:t>
      </w:r>
      <w:r w:rsidR="002F617B">
        <w:rPr>
          <w:rFonts w:cs="Times New Roman"/>
          <w:sz w:val="32"/>
          <w:szCs w:val="32"/>
          <w:lang w:bidi="ar-IQ"/>
        </w:rPr>
        <w:t xml:space="preserve">been </w:t>
      </w:r>
      <w:r w:rsidR="005F6933">
        <w:rPr>
          <w:rFonts w:cs="Times New Roman"/>
          <w:sz w:val="32"/>
          <w:szCs w:val="32"/>
          <w:lang w:bidi="ar-IQ"/>
        </w:rPr>
        <w:t>exposed to.</w:t>
      </w:r>
      <w:r w:rsidR="005F6933" w:rsidRPr="005F6933">
        <w:rPr>
          <w:rFonts w:cs="Times New Roman"/>
          <w:sz w:val="32"/>
          <w:szCs w:val="32"/>
          <w:lang w:bidi="ar-IQ"/>
        </w:rPr>
        <w:t xml:space="preserve"> </w:t>
      </w:r>
      <w:r w:rsidR="005F6933">
        <w:rPr>
          <w:rFonts w:cs="Times New Roman"/>
          <w:sz w:val="32"/>
          <w:szCs w:val="32"/>
          <w:lang w:bidi="ar-IQ"/>
        </w:rPr>
        <w:t xml:space="preserve"> </w:t>
      </w:r>
    </w:p>
    <w:p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20555A" w:rsidRPr="0020555A" w:rsidRDefault="0020555A" w:rsidP="00945C15">
      <w:pPr>
        <w:shd w:val="clear" w:color="auto" w:fill="FFFFFF"/>
        <w:rPr>
          <w:vanish/>
        </w:rPr>
      </w:pPr>
    </w:p>
    <w:p w:rsidR="00807DE1" w:rsidRPr="00807DE1" w:rsidRDefault="00807DE1" w:rsidP="00945C15">
      <w:pPr>
        <w:shd w:val="clear" w:color="auto" w:fill="FFFFFF"/>
        <w:rPr>
          <w:vanish/>
        </w:rPr>
      </w:pPr>
    </w:p>
    <w:p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923" w:rsidRDefault="00534923">
      <w:r>
        <w:separator/>
      </w:r>
    </w:p>
  </w:endnote>
  <w:endnote w:type="continuationSeparator" w:id="0">
    <w:p w:rsidR="00534923" w:rsidRDefault="0053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807DE1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07DE1" w:rsidRPr="00807DE1" w:rsidRDefault="00011B28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="00807DE1"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6C4EFC" w:rsidRPr="006C4EFC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807DE1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923" w:rsidRDefault="00534923">
      <w:r>
        <w:separator/>
      </w:r>
    </w:p>
  </w:footnote>
  <w:footnote w:type="continuationSeparator" w:id="0">
    <w:p w:rsidR="00534923" w:rsidRDefault="00534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11B28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AA4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61A3D"/>
    <w:rsid w:val="00182552"/>
    <w:rsid w:val="001916A2"/>
    <w:rsid w:val="00193771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1E499B"/>
    <w:rsid w:val="002000D6"/>
    <w:rsid w:val="00203A53"/>
    <w:rsid w:val="0020555A"/>
    <w:rsid w:val="00206E17"/>
    <w:rsid w:val="00210E10"/>
    <w:rsid w:val="002142A9"/>
    <w:rsid w:val="00216355"/>
    <w:rsid w:val="002358AF"/>
    <w:rsid w:val="00236F0D"/>
    <w:rsid w:val="0023793A"/>
    <w:rsid w:val="00242DCC"/>
    <w:rsid w:val="00251F95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2F617B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37C5"/>
    <w:rsid w:val="00325978"/>
    <w:rsid w:val="00327FCC"/>
    <w:rsid w:val="0033021C"/>
    <w:rsid w:val="003351CD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3F7001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B6640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27C82"/>
    <w:rsid w:val="005342BC"/>
    <w:rsid w:val="00534329"/>
    <w:rsid w:val="00534923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0D55"/>
    <w:rsid w:val="005D644B"/>
    <w:rsid w:val="005D69BE"/>
    <w:rsid w:val="005E036C"/>
    <w:rsid w:val="005E2B82"/>
    <w:rsid w:val="005E3A29"/>
    <w:rsid w:val="005E46FE"/>
    <w:rsid w:val="005F057B"/>
    <w:rsid w:val="005F45DE"/>
    <w:rsid w:val="005F6933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32B1"/>
    <w:rsid w:val="00636CB9"/>
    <w:rsid w:val="006377B6"/>
    <w:rsid w:val="00637C8B"/>
    <w:rsid w:val="00642469"/>
    <w:rsid w:val="006459FC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4EFC"/>
    <w:rsid w:val="006C5CDF"/>
    <w:rsid w:val="006D2916"/>
    <w:rsid w:val="006D4F39"/>
    <w:rsid w:val="006D6630"/>
    <w:rsid w:val="006E0C8C"/>
    <w:rsid w:val="007028BA"/>
    <w:rsid w:val="00704757"/>
    <w:rsid w:val="00735A7C"/>
    <w:rsid w:val="0074532D"/>
    <w:rsid w:val="007535DC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54D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97AD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E65CC"/>
    <w:rsid w:val="00BF2B60"/>
    <w:rsid w:val="00C15772"/>
    <w:rsid w:val="00C167F6"/>
    <w:rsid w:val="00C16DCB"/>
    <w:rsid w:val="00C20426"/>
    <w:rsid w:val="00C216F3"/>
    <w:rsid w:val="00C342BC"/>
    <w:rsid w:val="00C36C24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87862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D6183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DF0905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86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3DC1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6B0"/>
    <w:rsid w:val="00FF0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5513F3-2916-4ED0-B1C1-B87DDA0C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3D585-0717-467B-856D-A45FB77B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English</cp:lastModifiedBy>
  <cp:revision>2</cp:revision>
  <cp:lastPrinted>2024-01-23T07:51:00Z</cp:lastPrinted>
  <dcterms:created xsi:type="dcterms:W3CDTF">2025-11-24T09:56:00Z</dcterms:created>
  <dcterms:modified xsi:type="dcterms:W3CDTF">2025-11-24T09:56:00Z</dcterms:modified>
</cp:coreProperties>
</file>